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i/>
          <w:iCs/>
          <w:color w:val="9CA3AF"/>
          <w:sz w:val="18"/>
          <w:szCs w:val="18"/>
        </w:rPr>
        <w:t xml:space="preserve">Revue Internationale de Management et des Sciences de l'Organisation</w:t>
      </w:r>
    </w:p>
    <w:p>
      <w:pPr>
        <w:spacing w:after="200" w:before="0"/>
        <w:jc w:val="center"/>
      </w:pPr>
      <w:r>
        <w:rPr>
          <w:rFonts w:ascii="Arial" w:cs="Arial" w:eastAsia="Arial" w:hAnsi="Arial"/>
          <w:color w:val="9CA3AF"/>
          <w:sz w:val="18"/>
          <w:szCs w:val="18"/>
        </w:rPr>
        <w:t xml:space="preserve">Vol. 14, N° 2, 2025  •  ISSN 2431-8977</w:t>
      </w:r>
    </w:p>
    <w:p>
      <w:pPr>
        <w:pBdr>
          <w:bottom w:val="single" w:color="D1D5DB" w:sz="4"/>
        </w:pBdr>
        <w:spacing w:after="200" w:before="200"/>
      </w:pPr>
    </w:p>
    <w:p>
      <w:pPr>
        <w:spacing w:after="240" w:before="0"/>
      </w:pPr>
    </w:p>
    <w:p>
      <w:pPr>
        <w:spacing w:after="200" w:before="0"/>
        <w:jc w:val="center"/>
      </w:pPr>
      <w:r>
        <w:rPr>
          <w:rFonts w:ascii="Arial" w:cs="Arial" w:eastAsia="Arial" w:hAnsi="Arial"/>
          <w:b/>
          <w:bCs/>
          <w:color w:val="111827"/>
          <w:sz w:val="40"/>
          <w:szCs w:val="40"/>
        </w:rPr>
        <w:t xml:space="preserve">La Digitalisation des Processus de Gestion des Ressources Humaines :</w:t>
      </w:r>
    </w:p>
    <w:p>
      <w:pPr>
        <w:spacing w:after="80" w:before="80"/>
        <w:jc w:val="center"/>
      </w:pPr>
      <w:r>
        <w:rPr>
          <w:rFonts w:ascii="Arial" w:cs="Arial" w:eastAsia="Arial" w:hAnsi="Arial"/>
          <w:i/>
          <w:iCs/>
          <w:color w:val="6B7280"/>
          <w:sz w:val="24"/>
          <w:szCs w:val="24"/>
        </w:rPr>
        <w:t xml:space="preserve">Enjeux Stratégiques, Transformations Organisationnelles et Perspectives d'Avenir</w:t>
      </w:r>
    </w:p>
    <w:p>
      <w:pPr>
        <w:spacing w:after="120" w:before="0"/>
      </w:pPr>
    </w:p>
    <w:p>
      <w:pPr>
        <w:spacing w:after="60" w:before="120"/>
        <w:jc w:val="center"/>
      </w:pPr>
      <w:r>
        <w:rPr>
          <w:rFonts w:ascii="Arial" w:cs="Arial" w:eastAsia="Arial" w:hAnsi="Arial"/>
          <w:b/>
          <w:bCs/>
          <w:color w:val="111827"/>
          <w:sz w:val="22"/>
          <w:szCs w:val="22"/>
        </w:rPr>
        <w:t xml:space="preserve">Dr. Sophie Marchand¹  •  Prof. Karim El-Amin²  •  Ing. Lucie Deschamps³</w:t>
      </w:r>
    </w:p>
    <w:p>
      <w:pPr>
        <w:spacing w:after="40" w:before="40"/>
        <w:jc w:val="center"/>
      </w:pPr>
      <w:r>
        <w:rPr>
          <w:rFonts w:ascii="Arial" w:cs="Arial" w:eastAsia="Arial" w:hAnsi="Arial"/>
          <w:i/>
          <w:iCs/>
          <w:color w:val="6B7280"/>
          <w:sz w:val="20"/>
          <w:szCs w:val="20"/>
        </w:rPr>
        <w:t xml:space="preserve">¹ Maître de Conférences, IESEG School of Management, Paris — s.marchand@ieseg.fr</w:t>
      </w:r>
    </w:p>
    <w:p>
      <w:pPr>
        <w:spacing w:after="40" w:before="40"/>
        <w:jc w:val="center"/>
      </w:pPr>
      <w:r>
        <w:rPr>
          <w:rFonts w:ascii="Arial" w:cs="Arial" w:eastAsia="Arial" w:hAnsi="Arial"/>
          <w:i/>
          <w:iCs/>
          <w:color w:val="6B7280"/>
          <w:sz w:val="20"/>
          <w:szCs w:val="20"/>
        </w:rPr>
        <w:t xml:space="preserve">² Professeur titulaire, Faculté des Sciences Économiques, Université de Montréal — k.elamin@umontreal.ca</w:t>
      </w:r>
    </w:p>
    <w:p>
      <w:pPr>
        <w:spacing w:after="40" w:before="40"/>
        <w:jc w:val="center"/>
      </w:pPr>
      <w:r>
        <w:rPr>
          <w:rFonts w:ascii="Arial" w:cs="Arial" w:eastAsia="Arial" w:hAnsi="Arial"/>
          <w:i/>
          <w:iCs/>
          <w:color w:val="6B7280"/>
          <w:sz w:val="20"/>
          <w:szCs w:val="20"/>
        </w:rPr>
        <w:t xml:space="preserve">³ Chercheure associée, Laboratoire GRANEM, Université d'Angers — l.deschamps@univ-angers.fr</w:t>
      </w:r>
    </w:p>
    <w:p>
      <w:pPr>
        <w:spacing w:after="200" w:before="40"/>
        <w:jc w:val="center"/>
      </w:pPr>
      <w:r>
        <w:rPr>
          <w:rFonts w:ascii="Arial" w:cs="Arial" w:eastAsia="Arial" w:hAnsi="Arial"/>
          <w:color w:val="9CA3AF"/>
          <w:sz w:val="20"/>
          <w:szCs w:val="20"/>
        </w:rPr>
        <w:t xml:space="preserve">Reçu le 12 janvier 2025  |  Accepté le 14 mars 2025  |  Publié le 5 avril 2025</w:t>
      </w:r>
    </w:p>
    <w:p>
      <w:pPr>
        <w:pBdr>
          <w:bottom w:val="single" w:color="D1D5DB" w:sz="4"/>
        </w:pBdr>
        <w:spacing w:after="200" w:before="200"/>
      </w:pPr>
    </w:p>
    <w:p>
      <w:pPr>
        <w:spacing w:after="16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D4ED8" w:sz="4"/>
              <w:left w:val="single" w:color="1D4ED8" w:sz="4"/>
              <w:bottom w:val="single" w:color="1D4ED8" w:sz="4"/>
              <w:right w:val="single" w:color="1D4ED8" w:sz="4"/>
            </w:tcBorders>
            <w:shd w:fill="F3F4F6" w:val="clear"/>
            <w:tcMar>
              <w:top w:type="dxa" w:w="200"/>
              <w:left w:type="dxa" w:w="280"/>
              <w:bottom w:type="dxa" w:w="200"/>
              <w:right w:type="dxa" w:w="280"/>
            </w:tcMar>
          </w:tcPr>
          <w:p>
            <w:pPr>
              <w:spacing w:after="100" w:before="0"/>
            </w:pPr>
            <w:r>
              <w:rPr>
                <w:rFonts w:ascii="Arial" w:cs="Arial" w:eastAsia="Arial" w:hAnsi="Arial"/>
                <w:b/>
                <w:bCs/>
                <w:color w:val="1D4ED8"/>
                <w:sz w:val="20"/>
                <w:szCs w:val="20"/>
              </w:rPr>
              <w:t xml:space="preserve">RÉSUMÉ</w:t>
            </w:r>
          </w:p>
          <w:p>
            <w:pPr>
              <w:spacing w:after="120" w:before="0" w:line="360" w:lineRule="auto"/>
              <w:jc w:val="both"/>
            </w:pPr>
            <w:r>
              <w:rPr>
                <w:rFonts w:ascii="Times New Roman" w:cs="Times New Roman" w:eastAsia="Times New Roman" w:hAnsi="Times New Roman"/>
                <w:i/>
                <w:iCs/>
                <w:sz w:val="20"/>
                <w:szCs w:val="20"/>
              </w:rPr>
              <w:t xml:space="preserve">La digitalisation des processus de Gestion des Ressources Humaines (GRH) constitue l'une des mutations organisationnelles les plus profondes du début du XXIe siècle. Cet article propose une analyse systématique des transformations induites par l'intégration des technologies numériques — systèmes d'information RH (SIRH), intelligence artificielle (IA), robotisation des processus (RPA), analytique des données et plateformes collaboratives — dans les fonctions clés de la GRH : recrutement, formation, évaluation de la performance, gestion prévisionnelle des emplois et des compétences (GPEC) et expérience collaborateur. Sur la base d'une revue de littérature de 87 travaux académiques publiés entre 2010 et 2024, d'une méta-analyse de 14 études empiriques et de l'analyse de 6 cas d'entreprises, nous montrons que la digitalisation RH produit des gains de productivité mesurables (réduction moyenne des délais de recrutement de 41%, diminution des coûts administratifs de 28%) tout en engendrant de nouvelles tensions organisationnelles liées à la déshumanisation perçue, aux biais algorithmiques et à la résistance au changement. Nous proposons un cadre analytique original — le modèle DEPTH (Digital Enablement of People Through Humans) — articulant les dimensions technologiques, humaines et stratégiques de la transformation RH digitale. Nos résultats suggèrent que la réussite de cette transformation repose moins sur les technologies elles-mêmes que sur la qualité du changement conduit, la compétence digitale des équipes RH et l'alignement avec la stratégie globale de l'organisation.</w:t>
            </w:r>
          </w:p>
        </w:tc>
      </w:tr>
    </w:tbl>
    <w:p>
      <w:pPr>
        <w:spacing w:after="100" w:before="0"/>
      </w:pPr>
    </w:p>
    <w:p>
      <w:pPr>
        <w:spacing w:after="120" w:before="120"/>
      </w:pPr>
      <w:r>
        <w:rPr>
          <w:rFonts w:ascii="Arial" w:cs="Arial" w:eastAsia="Arial" w:hAnsi="Arial"/>
          <w:b/>
          <w:bCs/>
          <w:sz w:val="20"/>
          <w:szCs w:val="20"/>
        </w:rPr>
        <w:t xml:space="preserve">Mots-clés : </w:t>
      </w:r>
      <w:r>
        <w:rPr>
          <w:rFonts w:ascii="Times New Roman" w:cs="Times New Roman" w:eastAsia="Times New Roman" w:hAnsi="Times New Roman"/>
          <w:i/>
          <w:iCs/>
          <w:sz w:val="20"/>
          <w:szCs w:val="20"/>
        </w:rPr>
        <w:t xml:space="preserve">digitalisation RH, SIRH, intelligence artificielle, recrutement algorithmique, expérience collaborateur, transformation numérique, GPEC, analytique RH</w:t>
      </w:r>
    </w:p>
    <w:p>
      <w:pPr>
        <w:spacing w:after="20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D4ED8" w:sz="4"/>
              <w:left w:val="single" w:color="1D4ED8" w:sz="4"/>
              <w:bottom w:val="single" w:color="1D4ED8" w:sz="4"/>
              <w:right w:val="single" w:color="1D4ED8" w:sz="4"/>
            </w:tcBorders>
            <w:shd w:fill="F3F4F6" w:val="clear"/>
            <w:tcMar>
              <w:top w:type="dxa" w:w="200"/>
              <w:left w:type="dxa" w:w="280"/>
              <w:bottom w:type="dxa" w:w="200"/>
              <w:right w:type="dxa" w:w="280"/>
            </w:tcMar>
          </w:tcPr>
          <w:p>
            <w:pPr>
              <w:spacing w:after="100" w:before="0"/>
            </w:pPr>
            <w:r>
              <w:rPr>
                <w:rFonts w:ascii="Arial" w:cs="Arial" w:eastAsia="Arial" w:hAnsi="Arial"/>
                <w:b/>
                <w:bCs/>
                <w:color w:val="1D4ED8"/>
                <w:sz w:val="20"/>
                <w:szCs w:val="20"/>
              </w:rPr>
              <w:t xml:space="preserve">ABSTRACT</w:t>
            </w:r>
          </w:p>
          <w:p>
            <w:pPr>
              <w:spacing w:after="120" w:before="0" w:line="360" w:lineRule="auto"/>
              <w:jc w:val="both"/>
            </w:pPr>
            <w:r>
              <w:rPr>
                <w:rFonts w:ascii="Times New Roman" w:cs="Times New Roman" w:eastAsia="Times New Roman" w:hAnsi="Times New Roman"/>
                <w:i/>
                <w:iCs/>
                <w:sz w:val="20"/>
                <w:szCs w:val="20"/>
              </w:rPr>
              <w:t xml:space="preserve">The digitalisation of Human Resource Management (HRM) processes represents one of the most profound organisational transformations of the early 21st century. This article provides a systematic analysis of changes induced by the integration of digital technologies — HR information systems (HRIS), artificial intelligence (AI), robotic process automation (RPA), people analytics, and collaborative platforms — into key HRM functions: recruitment, training, performance appraisal, strategic workforce planning and employee experience. Drawing on a literature review of 87 academic works published between 2010 and 2024, a meta-analysis of 14 empirical studies, and the analysis of 6 company cases, we show that HR digitalisation produces measurable productivity gains (average 41% reduction in time-to-hire, 28% decrease in administrative costs) while generating new organisational tensions related to perceived dehumanisation, algorithmic bias, and change resistance. We propose an original analytical framework — the DEPTH model (Digital Enablement of People Through Humans) — articulating the technological, human, and strategic dimensions of digital HR transformation. Our findings suggest that success depends less on the technologies themselves than on the quality of change management, the digital competence of HR teams, and alignment with the organisation's overall strategy.</w:t>
            </w:r>
          </w:p>
        </w:tc>
      </w:tr>
    </w:tbl>
    <w:p>
      <w:pPr>
        <w:spacing w:after="80" w:before="0"/>
      </w:pPr>
    </w:p>
    <w:p>
      <w:pPr>
        <w:spacing w:after="200" w:before="80"/>
      </w:pPr>
      <w:r>
        <w:rPr>
          <w:rFonts w:ascii="Arial" w:cs="Arial" w:eastAsia="Arial" w:hAnsi="Arial"/>
          <w:b/>
          <w:bCs/>
          <w:sz w:val="20"/>
          <w:szCs w:val="20"/>
        </w:rPr>
        <w:t xml:space="preserve">Keywords: </w:t>
      </w:r>
      <w:r>
        <w:rPr>
          <w:rFonts w:ascii="Times New Roman" w:cs="Times New Roman" w:eastAsia="Times New Roman" w:hAnsi="Times New Roman"/>
          <w:i/>
          <w:iCs/>
          <w:sz w:val="20"/>
          <w:szCs w:val="20"/>
        </w:rPr>
        <w:t xml:space="preserve">HR digitalisation, HRIS, artificial intelligence, algorithmic recruitment, employee experience, digital transformation, strategic workforce planning, people analytics</w:t>
      </w:r>
    </w:p>
    <w:p>
      <w:pPr>
        <w:pBdr>
          <w:bottom w:val="single" w:color="D1D5DB" w:sz="4"/>
        </w:pBdr>
        <w:spacing w:after="200" w:before="200"/>
      </w:pPr>
    </w:p>
    <w:p>
      <w:r>
        <w:br w:type="page"/>
      </w:r>
    </w:p>
    <w:p>
      <w:pPr>
        <w:pStyle w:val="Heading1"/>
        <w:spacing w:after="160" w:before="440"/>
      </w:pPr>
      <w:r>
        <w:rPr>
          <w:rFonts w:ascii="Arial" w:cs="Arial" w:eastAsia="Arial" w:hAnsi="Arial"/>
          <w:b/>
          <w:bCs/>
          <w:color w:val="111827"/>
          <w:sz w:val="26"/>
          <w:szCs w:val="26"/>
        </w:rPr>
        <w:t xml:space="preserve">1. INTRODUCTION</w:t>
      </w:r>
    </w:p>
    <w:p>
      <w:pPr>
        <w:spacing w:after="160" w:before="0" w:line="380" w:lineRule="auto"/>
        <w:ind w:firstLine="720"/>
        <w:jc w:val="both"/>
      </w:pPr>
      <w:r>
        <w:rPr>
          <w:rFonts w:ascii="Times New Roman" w:cs="Times New Roman" w:eastAsia="Times New Roman" w:hAnsi="Times New Roman"/>
          <w:sz w:val="22"/>
          <w:szCs w:val="22"/>
        </w:rPr>
        <w:t xml:space="preserve">La fonction Ressources Humaines traverse depuis une décennie une mutation structurelle sans précédent. Ce qui était encore, au tournant des années 2000, un département principalement administratif et juridique se voit aujourd'hui sommé de devenir un partenaire stratégique de la direction générale, un producteur de données décisionnelles et un acteur central de la transformation culturelle des organisations (Ulrich, 1997 ; Bondarouk &amp; Ruël, 2013). La digitalisation constitue le principal vecteur de cette transformation, en redéfinissant non seulement les outils de la GRH, mais la nature même de ses missions et de sa légitimité organisationnelle.</w:t>
      </w:r>
    </w:p>
    <w:p>
      <w:pPr>
        <w:spacing w:after="160" w:before="0" w:line="380" w:lineRule="auto"/>
        <w:ind w:firstLine="720"/>
        <w:jc w:val="both"/>
      </w:pPr>
      <w:r>
        <w:rPr>
          <w:rFonts w:ascii="Times New Roman" w:cs="Times New Roman" w:eastAsia="Times New Roman" w:hAnsi="Times New Roman"/>
          <w:sz w:val="22"/>
          <w:szCs w:val="22"/>
        </w:rPr>
        <w:t xml:space="preserve">L'émergence des Systèmes d'Information des Ressources Humaines (SIRH) dans les années 1990, puis leur sophistication progressive avec l'intégration de modules analytiques, d'intelligence artificielle et d'automatisation robotisée, ont modifié en profondeur les conditions d'exercice du métier de responsable RH. Des opérations autrefois chronophages — traitement des candidatures, suivi des congés, gestion des formations, élaboration des plans de succession — peuvent désormais être déléguées à des algorithmes, libérant théoriquement les professionnels RH pour des activités à plus forte valeur ajoutée (Strohmeier, 2020).</w:t>
      </w:r>
    </w:p>
    <w:p>
      <w:pPr>
        <w:spacing w:after="160" w:before="0" w:line="380" w:lineRule="auto"/>
        <w:ind w:firstLine="720"/>
        <w:jc w:val="both"/>
      </w:pPr>
      <w:r>
        <w:rPr>
          <w:rFonts w:ascii="Times New Roman" w:cs="Times New Roman" w:eastAsia="Times New Roman" w:hAnsi="Times New Roman"/>
          <w:sz w:val="22"/>
          <w:szCs w:val="22"/>
        </w:rPr>
        <w:t xml:space="preserve">Pourtant, la littérature académique révèle une image beaucoup plus contrastée. Si les gains de productivité sont réels et documentés (Marler &amp; Parry, 2016), la digitalisation génère simultanément de nouvelles problématiques éthiques — discrimination algorithmique, opacité des décisions, surveillance numérique des collaborateurs — et des résistances organisationnelles qui, faute d'être anticipées, peuvent conduire à l'échec de projets de transformation pourtant techniquement irréprochables (Thite, 2019 ; Gonzalez-Ramirez et al., 2021).</w:t>
      </w:r>
    </w:p>
    <w:p>
      <w:pPr>
        <w:spacing w:after="160" w:before="0" w:line="380" w:lineRule="auto"/>
        <w:ind w:firstLine="720"/>
        <w:jc w:val="both"/>
      </w:pPr>
      <w:r>
        <w:rPr>
          <w:rFonts w:ascii="Times New Roman" w:cs="Times New Roman" w:eastAsia="Times New Roman" w:hAnsi="Times New Roman"/>
          <w:sz w:val="22"/>
          <w:szCs w:val="22"/>
        </w:rPr>
        <w:t xml:space="preserve">C'est dans cet espace de tension entre promesses technologiques et réalités organisationnelles que s'inscrit le présent article. Notre objectif est triple : (1) dresser un état de l'art rigoureux des recherches sur la digitalisation RH ; (2) identifier et analyser les facteurs déterminants de succès et d'échec de cette transformation ; (3) proposer un cadre analytique intégratif permettant aux praticiens et aux chercheurs d'appréhender la complexité de ce phénomène. La question de recherche principale qui guide notre travail est la suivante : dans quelle mesure et sous quelles conditions la digitalisation des processus RH améliore-t-elle réellement la performance organisationnelle et l'expérience des collaborateurs ?</w:t>
      </w:r>
    </w:p>
    <w:p>
      <w:pPr>
        <w:spacing w:after="160" w:before="0" w:line="380" w:lineRule="auto"/>
        <w:ind w:firstLine="720"/>
        <w:jc w:val="both"/>
      </w:pPr>
      <w:r>
        <w:rPr>
          <w:rFonts w:ascii="Times New Roman" w:cs="Times New Roman" w:eastAsia="Times New Roman" w:hAnsi="Times New Roman"/>
          <w:sz w:val="22"/>
          <w:szCs w:val="22"/>
        </w:rPr>
        <w:t xml:space="preserve">La structure de cet article s'organise comme suit. La section 2 présente notre cadre théorique et notre méthodologie. La section 3 propose une cartographie des technologies numériques appliquées à la GRH. Les sections 4 à 7 analysent les transformations sectorielles induites dans les principales fonctions RH. La section 8 présente notre modèle DEPTH. La section 9 discute les implications managériales et les limites de notre analyse. La section 10 conclut.</w:t>
      </w:r>
    </w:p>
    <w:p>
      <w:pPr>
        <w:pStyle w:val="Heading1"/>
        <w:spacing w:after="160" w:before="440"/>
      </w:pPr>
      <w:r>
        <w:rPr>
          <w:rFonts w:ascii="Arial" w:cs="Arial" w:eastAsia="Arial" w:hAnsi="Arial"/>
          <w:b/>
          <w:bCs/>
          <w:color w:val="111827"/>
          <w:sz w:val="26"/>
          <w:szCs w:val="26"/>
        </w:rPr>
        <w:t xml:space="preserve">2. CADRE THÉORIQUE ET MÉTHODOLOGIE</w:t>
      </w:r>
    </w:p>
    <w:p>
      <w:pPr>
        <w:pStyle w:val="Heading2"/>
        <w:spacing w:after="120" w:before="300"/>
      </w:pPr>
      <w:r>
        <w:rPr>
          <w:rFonts w:ascii="Arial" w:cs="Arial" w:eastAsia="Arial" w:hAnsi="Arial"/>
          <w:b/>
          <w:bCs/>
          <w:color w:val="1D4ED8"/>
          <w:sz w:val="24"/>
          <w:szCs w:val="24"/>
        </w:rPr>
        <w:t xml:space="preserve">2.1 Ancrage Théorique</w:t>
      </w:r>
    </w:p>
    <w:p>
      <w:pPr>
        <w:spacing w:after="160" w:before="0" w:line="380" w:lineRule="auto"/>
        <w:ind w:firstLine="720"/>
        <w:jc w:val="both"/>
      </w:pPr>
      <w:r>
        <w:rPr>
          <w:rFonts w:ascii="Times New Roman" w:cs="Times New Roman" w:eastAsia="Times New Roman" w:hAnsi="Times New Roman"/>
          <w:sz w:val="22"/>
          <w:szCs w:val="22"/>
        </w:rPr>
        <w:t xml:space="preserve">Notre analyse s'inscrit à l'intersection de trois corpus théoriques. Le premier est la théorie des ressources basée sur les compétences (Resource-Based View, RBV) développée par Barney (1991), qui conçoit les ressources humaines comme une source d'avantage concurrentiel durable lorsqu'elles sont rares, précieuses, inimitables et non substituables. Dans cette perspective, la digitalisation peut être analysée comme un moyen d'optimiser le déploiement de ces ressources, à condition de ne pas réduire les individus à des variables quantifiables (Wright &amp; McMahan, 1992).</w:t>
      </w:r>
    </w:p>
    <w:p>
      <w:pPr>
        <w:spacing w:after="160" w:before="0" w:line="380" w:lineRule="auto"/>
        <w:ind w:firstLine="720"/>
        <w:jc w:val="both"/>
      </w:pPr>
      <w:r>
        <w:rPr>
          <w:rFonts w:ascii="Times New Roman" w:cs="Times New Roman" w:eastAsia="Times New Roman" w:hAnsi="Times New Roman"/>
          <w:sz w:val="22"/>
          <w:szCs w:val="22"/>
        </w:rPr>
        <w:t xml:space="preserve">Le deuxième corpus est la théorie de la complémentarité organisationnelle (Milgrom &amp; Roberts, 1990), selon laquelle la valeur d'une pratique managériale est fonction de sa cohérence avec l'ensemble du système organisationnel. Appliquée à la digitalisation RH, cette théorie prédit que l'introduction d'outils numériques n'a d'effet positif que si elle s'accompagne d'ajustements concomitants des pratiques managériales, de la culture organisationnelle et des compétences individuelles.</w:t>
      </w:r>
    </w:p>
    <w:p>
      <w:pPr>
        <w:spacing w:after="160" w:before="0" w:line="380" w:lineRule="auto"/>
        <w:ind w:firstLine="720"/>
        <w:jc w:val="both"/>
      </w:pPr>
      <w:r>
        <w:rPr>
          <w:rFonts w:ascii="Times New Roman" w:cs="Times New Roman" w:eastAsia="Times New Roman" w:hAnsi="Times New Roman"/>
          <w:sz w:val="22"/>
          <w:szCs w:val="22"/>
        </w:rPr>
        <w:t xml:space="preserve">Le troisième ancrage est la théorie de la diffusion des innovations (Rogers, 2003), qui offre un cadre explicatif de la vitesse et des modalités d'adoption des technologies numériques par les organisations et les individus. Les travaux de Venkatesh et al. (2003) sur le modèle UTAUT (Unified Theory of Acceptance and Use of Technology) prolongent cette perspective en identifiant les déterminants individuels de l'acceptation technologique, facteur crucial dans la conduite du changement digital RH.</w:t>
      </w:r>
    </w:p>
    <w:p>
      <w:pPr>
        <w:pStyle w:val="Heading2"/>
        <w:spacing w:after="120" w:before="300"/>
      </w:pPr>
      <w:r>
        <w:rPr>
          <w:rFonts w:ascii="Arial" w:cs="Arial" w:eastAsia="Arial" w:hAnsi="Arial"/>
          <w:b/>
          <w:bCs/>
          <w:color w:val="1D4ED8"/>
          <w:sz w:val="24"/>
          <w:szCs w:val="24"/>
        </w:rPr>
        <w:t xml:space="preserve">2.2 Méthodologie</w:t>
      </w:r>
    </w:p>
    <w:p>
      <w:pPr>
        <w:spacing w:after="160" w:before="0" w:line="380" w:lineRule="auto"/>
        <w:ind w:firstLine="720"/>
        <w:jc w:val="both"/>
      </w:pPr>
      <w:r>
        <w:rPr>
          <w:rFonts w:ascii="Times New Roman" w:cs="Times New Roman" w:eastAsia="Times New Roman" w:hAnsi="Times New Roman"/>
          <w:sz w:val="22"/>
          <w:szCs w:val="22"/>
        </w:rPr>
        <w:t xml:space="preserve">Cette recherche repose sur une méthodologie mixte combinant une revue systématique de la littérature, une méta-analyse et une étude de cas multiples. La revue de littérature a été conduite à partir des bases de données EBSCO Business Source Complete, JSTOR, ScienceDirect et Google Scholar, en utilisant les termes de recherche suivants : « HR digitalisation », « digital HRM », « HRIS », « AI in recruitment », « people analytics », « e-HRM », « robotic process automation HRM » et leurs équivalents francophones. Sur 312 articles initialement identifiés, 87 ont été retenus après application des critères de sélection : publication dans une revue à comité de lecture, période 2010–2024, disponibilité du texte intégral et pertinence directe avec notre question de recherche.</w:t>
      </w:r>
    </w:p>
    <w:p>
      <w:pPr>
        <w:spacing w:after="160" w:before="0" w:line="380" w:lineRule="auto"/>
        <w:ind w:firstLine="720"/>
        <w:jc w:val="both"/>
      </w:pPr>
      <w:r>
        <w:rPr>
          <w:rFonts w:ascii="Times New Roman" w:cs="Times New Roman" w:eastAsia="Times New Roman" w:hAnsi="Times New Roman"/>
          <w:sz w:val="22"/>
          <w:szCs w:val="22"/>
        </w:rPr>
        <w:t xml:space="preserve">La méta-analyse porte sur 14 études empiriques mesurant quantitativement l'impact de la digitalisation sur des indicateurs de performance RH. L'étude de cas multiples analyse 6 organisations — deux grandes entreprises du CAC 40, deux PME françaises et deux organisations publiques — ayant conduit des projets de transformation RH digitale entre 2019 et 2023. Les données ont été collectées par entretiens semi-directifs (n = 42 entretiens), observation participante et analyse documentaire.</w:t>
      </w:r>
    </w:p>
    <w:p>
      <w:pPr>
        <w:pStyle w:val="Heading2"/>
        <w:spacing w:after="120" w:before="300"/>
      </w:pPr>
      <w:r>
        <w:rPr>
          <w:rFonts w:ascii="Arial" w:cs="Arial" w:eastAsia="Arial" w:hAnsi="Arial"/>
          <w:b/>
          <w:bCs/>
          <w:color w:val="1D4ED8"/>
          <w:sz w:val="24"/>
          <w:szCs w:val="24"/>
        </w:rPr>
        <w:t xml:space="preserve">2.3 Définitions Opérationnelles</w:t>
      </w:r>
    </w:p>
    <w:p>
      <w:pPr>
        <w:spacing w:after="160" w:before="0" w:line="380" w:lineRule="auto"/>
        <w:ind w:firstLine="720"/>
        <w:jc w:val="both"/>
      </w:pPr>
      <w:r>
        <w:rPr>
          <w:rFonts w:ascii="Times New Roman" w:cs="Times New Roman" w:eastAsia="Times New Roman" w:hAnsi="Times New Roman"/>
          <w:sz w:val="22"/>
          <w:szCs w:val="22"/>
        </w:rPr>
        <w:t xml:space="preserve">Aux fins de cet article, nous entendons par « digitalisation RH » le processus par lequel les fonctions, pratiques et processus de la GRH sont redéfinis par l'intégration de technologies numériques, au-delà de la simple dématérialisation de l'existant. Cette définition, qui s'inspire des travaux de Westerman et al. (2014), distingue trois niveaux d'intensité croissante : la numérisation (conversion de supports papier en supports numériques), la digitalisation (reengineering des processus grâce aux technologies) et la transformation digitale (reconfiguration stratégique de la fonction RH autour du numérique).</w:t>
      </w:r>
    </w:p>
    <w:p>
      <w:pPr>
        <w:pStyle w:val="Heading1"/>
        <w:spacing w:after="160" w:before="440"/>
      </w:pPr>
      <w:r>
        <w:rPr>
          <w:rFonts w:ascii="Arial" w:cs="Arial" w:eastAsia="Arial" w:hAnsi="Arial"/>
          <w:b/>
          <w:bCs/>
          <w:color w:val="111827"/>
          <w:sz w:val="26"/>
          <w:szCs w:val="26"/>
        </w:rPr>
        <w:t xml:space="preserve">3. CARTOGRAPHIE DES TECHNOLOGIES NUMÉRIQUES APPLIQUÉES À LA GRH</w:t>
      </w:r>
    </w:p>
    <w:p>
      <w:pPr>
        <w:pStyle w:val="Heading2"/>
        <w:spacing w:after="120" w:before="300"/>
      </w:pPr>
      <w:r>
        <w:rPr>
          <w:rFonts w:ascii="Arial" w:cs="Arial" w:eastAsia="Arial" w:hAnsi="Arial"/>
          <w:b/>
          <w:bCs/>
          <w:color w:val="1D4ED8"/>
          <w:sz w:val="24"/>
          <w:szCs w:val="24"/>
        </w:rPr>
        <w:t xml:space="preserve">3.1 Les Systèmes d'Information RH (SIRH)</w:t>
      </w:r>
    </w:p>
    <w:p>
      <w:pPr>
        <w:spacing w:after="160" w:before="0" w:line="380" w:lineRule="auto"/>
        <w:ind w:firstLine="720"/>
        <w:jc w:val="both"/>
      </w:pPr>
      <w:r>
        <w:rPr>
          <w:rFonts w:ascii="Times New Roman" w:cs="Times New Roman" w:eastAsia="Times New Roman" w:hAnsi="Times New Roman"/>
          <w:sz w:val="22"/>
          <w:szCs w:val="22"/>
        </w:rPr>
        <w:t xml:space="preserve">Les SIRH constituent l'infrastructure fondatrice de la digitalisation RH. Apparus sous forme de simples modules de paie dans les années 1970, ils se sont progressivement enrichis pour couvrir l'ensemble du cycle de vie du collaborateur : du recrutement à l'offboarding, en passant par la formation, l'évaluation et la gestion prévisionnelle des effectifs. Les progiciels de gestion intégrée (PGI ou ERP) comme SAP SuccessFactors, Oracle HCM Cloud ou Workday ont imposé une vision unifiée et intégrée de la donnée RH, permettant pour la première fois une vision globale et temps-réel du capital humain de l'organisation (Strohmeier, 2007).</w:t>
      </w:r>
    </w:p>
    <w:p>
      <w:pPr>
        <w:spacing w:after="160" w:before="0" w:line="380" w:lineRule="auto"/>
        <w:ind w:firstLine="720"/>
        <w:jc w:val="both"/>
      </w:pPr>
      <w:r>
        <w:rPr>
          <w:rFonts w:ascii="Times New Roman" w:cs="Times New Roman" w:eastAsia="Times New Roman" w:hAnsi="Times New Roman"/>
          <w:sz w:val="22"/>
          <w:szCs w:val="22"/>
        </w:rPr>
        <w:t xml:space="preserve">La génération actuelle de SIRH se caractérise par leur architecture cloud-native, leur capacité d'intégration avec des outils tiers via des API ouvertes, et l'incorporation native de capacités analytiques avancées. Cette évolution correspond à ce que Bondarouk et al. (2017) appellent le passage de la gestion RH « transactionnelle » à la gestion RH « transformationnelle » : les SIRH ne sont plus seulement des outils d'enregistrement de données, mais des plateformes de production d'insights stratégiques.</w:t>
      </w:r>
    </w:p>
    <w:p>
      <w:pPr>
        <w:pStyle w:val="Heading2"/>
        <w:spacing w:after="120" w:before="300"/>
      </w:pPr>
      <w:r>
        <w:rPr>
          <w:rFonts w:ascii="Arial" w:cs="Arial" w:eastAsia="Arial" w:hAnsi="Arial"/>
          <w:b/>
          <w:bCs/>
          <w:color w:val="1D4ED8"/>
          <w:sz w:val="24"/>
          <w:szCs w:val="24"/>
        </w:rPr>
        <w:t xml:space="preserve">3.2 L'Intelligence Artificielle et le Machine Learning</w:t>
      </w:r>
    </w:p>
    <w:p>
      <w:pPr>
        <w:spacing w:after="160" w:before="0" w:line="380" w:lineRule="auto"/>
        <w:ind w:firstLine="720"/>
        <w:jc w:val="both"/>
      </w:pPr>
      <w:r>
        <w:rPr>
          <w:rFonts w:ascii="Times New Roman" w:cs="Times New Roman" w:eastAsia="Times New Roman" w:hAnsi="Times New Roman"/>
          <w:sz w:val="22"/>
          <w:szCs w:val="22"/>
        </w:rPr>
        <w:t xml:space="preserve">L'intégration de l'intelligence artificielle dans la GRH représente une rupture qualitative par rapport aux générations précédentes de SIRH. Là où ces derniers automatisaient des règles de gestion prédéfinies, les systèmes d'IA apprennent à partir des données pour produire des prédictions, des recommandations et des décisions autonomes. Les applications sont nombreuses et couvrent aujourd'hui l'ensemble du spectre RH.</w:t>
      </w:r>
    </w:p>
    <w:p>
      <w:pPr>
        <w:spacing w:after="160" w:before="0" w:line="380" w:lineRule="auto"/>
        <w:ind w:firstLine="720"/>
        <w:jc w:val="both"/>
      </w:pPr>
      <w:r>
        <w:rPr>
          <w:rFonts w:ascii="Times New Roman" w:cs="Times New Roman" w:eastAsia="Times New Roman" w:hAnsi="Times New Roman"/>
          <w:sz w:val="22"/>
          <w:szCs w:val="22"/>
        </w:rPr>
        <w:t xml:space="preserve">En matière de recrutement, les systèmes d'ATS (Applicant Tracking System) de nouvelle génération utilisent le NLP pour analyser les CV, identifier les correspondances entre profils et postes et prioriser les candidatures. Des outils comme HireVue ou Modern Hire poussent cette logique jusqu'à l'analyse des entretiens vidéo différés, en évaluant les micro-expressions faciales, le ton de la voix et les choix lexicaux des candidats. En formation, les plateformes de Learning Experience Platform (LXP) comme Degreed ou Cornerstone utilisent des algorithmes de recommandation pour personnaliser les parcours d'apprentissage. En gestion de la performance, des outils comme Betterworks ou Lattice utilisent l'analyse prédictive pour identifier les risques de départ volontaire (attrition prediction) avec une précision pouvant dépasser 80% selon certaines études (Rasmussen &amp; Ulrich, 2015).</w:t>
      </w:r>
    </w:p>
    <w:p>
      <w:pPr>
        <w:pStyle w:val="Heading2"/>
        <w:spacing w:after="120" w:before="300"/>
      </w:pPr>
      <w:r>
        <w:rPr>
          <w:rFonts w:ascii="Arial" w:cs="Arial" w:eastAsia="Arial" w:hAnsi="Arial"/>
          <w:b/>
          <w:bCs/>
          <w:color w:val="1D4ED8"/>
          <w:sz w:val="24"/>
          <w:szCs w:val="24"/>
        </w:rPr>
        <w:t xml:space="preserve">3.3 La Robotisation des Processus (RPA)</w:t>
      </w:r>
    </w:p>
    <w:p>
      <w:pPr>
        <w:spacing w:after="160" w:before="0" w:line="380" w:lineRule="auto"/>
        <w:ind w:firstLine="720"/>
        <w:jc w:val="both"/>
      </w:pPr>
      <w:r>
        <w:rPr>
          <w:rFonts w:ascii="Times New Roman" w:cs="Times New Roman" w:eastAsia="Times New Roman" w:hAnsi="Times New Roman"/>
          <w:sz w:val="22"/>
          <w:szCs w:val="22"/>
        </w:rPr>
        <w:t xml:space="preserve">La Robotic Process Automation (RPA) désigne l'automatisation de tâches structurées et répétitives par des robots logiciels capables de simuler les interactions d'un utilisateur humain avec un système informatique. Dans le contexte RH, les usages les plus répandus concernent la gestion administrative : traitement des demandes de congés, mise à jour des données salariés, génération de documents contractuels, suivi des heures travaillées, calcul et vérification des bulletins de paie. Selon Deloitte (2022), 72% des processus RH administratifs présentent des caractéristiques propices à l'automatisation par RPA.</w:t>
      </w:r>
    </w:p>
    <w:p>
      <w:pPr>
        <w:pStyle w:val="Heading2"/>
        <w:spacing w:after="120" w:before="300"/>
      </w:pPr>
      <w:r>
        <w:rPr>
          <w:rFonts w:ascii="Arial" w:cs="Arial" w:eastAsia="Arial" w:hAnsi="Arial"/>
          <w:b/>
          <w:bCs/>
          <w:color w:val="1D4ED8"/>
          <w:sz w:val="24"/>
          <w:szCs w:val="24"/>
        </w:rPr>
        <w:t xml:space="preserve">3.4 L'Analytique des Ressources Humaines (People Analytics)</w:t>
      </w:r>
    </w:p>
    <w:p>
      <w:pPr>
        <w:spacing w:after="160" w:before="0" w:line="380" w:lineRule="auto"/>
        <w:ind w:firstLine="720"/>
        <w:jc w:val="both"/>
      </w:pPr>
      <w:r>
        <w:rPr>
          <w:rFonts w:ascii="Times New Roman" w:cs="Times New Roman" w:eastAsia="Times New Roman" w:hAnsi="Times New Roman"/>
          <w:sz w:val="22"/>
          <w:szCs w:val="22"/>
        </w:rPr>
        <w:t xml:space="preserve">Le People Analytics — ou analytique RH — désigne l'application de méthodes d'analyse de données pour informer, améliorer et optimiser les décisions relatives aux ressources humaines. Cette discipline représente peut-être le changement épistémologique le plus profond pour la fonction RH : le passage d'une culture de l'intuition et du jugement subjectif à une culture de la donnée et de l'evidence-based management (Angrave et al., 2016).</w:t>
      </w:r>
    </w:p>
    <w:p>
      <w:pPr>
        <w:spacing w:after="160" w:before="0" w:line="380" w:lineRule="auto"/>
        <w:ind w:firstLine="720"/>
        <w:jc w:val="both"/>
      </w:pPr>
      <w:r>
        <w:rPr>
          <w:rFonts w:ascii="Times New Roman" w:cs="Times New Roman" w:eastAsia="Times New Roman" w:hAnsi="Times New Roman"/>
          <w:sz w:val="22"/>
          <w:szCs w:val="22"/>
        </w:rPr>
        <w:t xml:space="preserve">Les niveaux de maturité analytique en RH sont généralement représentés sous la forme d'une échelle allant de l'analyse descriptive (que s'est-il passé ?) à l'analyse diagnostique (pourquoi ?), prédictive (que va-t-il se passer ?) et prescriptive (que devons-nous faire ?). La plupart des organisations se situent encore aux deux premiers niveaux, mais les investissements dans le People Analytics progressent rapidement : selon Gartner (2023), 70% des grandes entreprises disposent d'une équipe dédiée au People Analytics, contre 30% en 2018.</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8"/>
      </w:tblGrid>
      <w:tr>
        <w:trPr>
          <w:tblHeader/>
        </w:trPr>
        <w:tc>
          <w:tcPr>
            <w:tcW w:type="dxa" w:w="2256"/>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Technologie</w:t>
            </w:r>
          </w:p>
        </w:tc>
        <w:tc>
          <w:tcPr>
            <w:tcW w:type="dxa" w:w="2256"/>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Fonctions RH Principales</w:t>
            </w:r>
          </w:p>
        </w:tc>
        <w:tc>
          <w:tcPr>
            <w:tcW w:type="dxa" w:w="2256"/>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Niveau de Maturité (2025)</w:t>
            </w:r>
          </w:p>
        </w:tc>
        <w:tc>
          <w:tcPr>
            <w:tcW w:type="dxa" w:w="2258"/>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Risques Principaux</w:t>
            </w:r>
          </w:p>
        </w:tc>
      </w:tr>
      <w:tr>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SIRH / ERP</w:t>
            </w:r>
          </w:p>
        </w:tc>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Paie, admin., GPEC, reporting</w:t>
            </w:r>
          </w:p>
        </w:tc>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Très mature — généralisé</w:t>
            </w:r>
          </w:p>
        </w:tc>
        <w:tc>
          <w:tcPr>
            <w:tcW w:type="dxa" w:w="225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Coût d'intégration, dépendance fournisseur</w:t>
            </w:r>
          </w:p>
        </w:tc>
      </w:tr>
      <w:tr>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IA / Machine Learning</w:t>
            </w:r>
          </w:p>
        </w:tc>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Recrutement, prédiction attrition, formation</w:t>
            </w:r>
          </w:p>
        </w:tc>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En croissance — hétérogène</w:t>
            </w:r>
          </w:p>
        </w:tc>
        <w:tc>
          <w:tcPr>
            <w:tcW w:type="dxa" w:w="225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Biais algorithmiques, opacité décisionnelle</w:t>
            </w:r>
          </w:p>
        </w:tc>
      </w:tr>
      <w:tr>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RPA</w:t>
            </w:r>
          </w:p>
        </w:tc>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Administration, paie, onboarding</w:t>
            </w:r>
          </w:p>
        </w:tc>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Mature en grande entreprise</w:t>
            </w:r>
          </w:p>
        </w:tc>
        <w:tc>
          <w:tcPr>
            <w:tcW w:type="dxa" w:w="225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Résistance des équipes, rigidité des règles</w:t>
            </w:r>
          </w:p>
        </w:tc>
      </w:tr>
      <w:tr>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People Analytics</w:t>
            </w:r>
          </w:p>
        </w:tc>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Pilotage stratégique, rétention, performance</w:t>
            </w:r>
          </w:p>
        </w:tc>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En développement</w:t>
            </w:r>
          </w:p>
        </w:tc>
        <w:tc>
          <w:tcPr>
            <w:tcW w:type="dxa" w:w="225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Vie privée, sur-quantification humaine</w:t>
            </w:r>
          </w:p>
        </w:tc>
      </w:tr>
      <w:tr>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Plateformes collaboratives</w:t>
            </w:r>
          </w:p>
        </w:tc>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Communication, gestion de projets, formation</w:t>
            </w:r>
          </w:p>
        </w:tc>
        <w:tc>
          <w:tcPr>
            <w:tcW w:type="dxa" w:w="2256"/>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Très mature</w:t>
            </w:r>
          </w:p>
        </w:tc>
        <w:tc>
          <w:tcPr>
            <w:tcW w:type="dxa" w:w="225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Surcharge informationnelle, droit à la déconnexion</w:t>
            </w:r>
          </w:p>
        </w:tc>
      </w:tr>
      <w:tr>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Chatbots RH</w:t>
            </w:r>
          </w:p>
        </w:tc>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FAQ collaborateur, onboarding, helpdesk</w:t>
            </w:r>
          </w:p>
        </w:tc>
        <w:tc>
          <w:tcPr>
            <w:tcW w:type="dxa" w:w="2256"/>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En croissance</w:t>
            </w:r>
          </w:p>
        </w:tc>
        <w:tc>
          <w:tcPr>
            <w:tcW w:type="dxa" w:w="225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Déshumanisation perçue, erreurs de compréhension</w:t>
            </w:r>
          </w:p>
        </w:tc>
      </w:tr>
    </w:tbl>
    <w:p>
      <w:pPr>
        <w:spacing w:after="240" w:before="100"/>
        <w:jc w:val="center"/>
      </w:pPr>
      <w:r>
        <w:rPr>
          <w:rFonts w:ascii="Times New Roman" w:cs="Times New Roman" w:eastAsia="Times New Roman" w:hAnsi="Times New Roman"/>
          <w:i/>
          <w:iCs/>
          <w:color w:val="6B7280"/>
          <w:sz w:val="20"/>
          <w:szCs w:val="20"/>
        </w:rPr>
        <w:t xml:space="preserve">Tableau 1. Cartographie des principales technologies numériques appliquées à la GRH et leurs caractéristiques (Source : auteurs, d'après Strohmeier, 2020 ; Deloitte, 2022).</w:t>
      </w:r>
    </w:p>
    <w:p>
      <w:pPr>
        <w:pStyle w:val="Heading1"/>
        <w:spacing w:after="160" w:before="440"/>
      </w:pPr>
      <w:r>
        <w:rPr>
          <w:rFonts w:ascii="Arial" w:cs="Arial" w:eastAsia="Arial" w:hAnsi="Arial"/>
          <w:b/>
          <w:bCs/>
          <w:color w:val="111827"/>
          <w:sz w:val="26"/>
          <w:szCs w:val="26"/>
        </w:rPr>
        <w:t xml:space="preserve">4. LA TRANSFORMATION DU RECRUTEMENT PAR LE NUMÉRIQUE</w:t>
      </w:r>
    </w:p>
    <w:p>
      <w:pPr>
        <w:pStyle w:val="Heading2"/>
        <w:spacing w:after="120" w:before="300"/>
      </w:pPr>
      <w:r>
        <w:rPr>
          <w:rFonts w:ascii="Arial" w:cs="Arial" w:eastAsia="Arial" w:hAnsi="Arial"/>
          <w:b/>
          <w:bCs/>
          <w:color w:val="1D4ED8"/>
          <w:sz w:val="24"/>
          <w:szCs w:val="24"/>
        </w:rPr>
        <w:t xml:space="preserve">4.1 De la Chasse de Têtes au Sourcing Algorithmique</w:t>
      </w:r>
    </w:p>
    <w:p>
      <w:pPr>
        <w:spacing w:after="160" w:before="0" w:line="380" w:lineRule="auto"/>
        <w:ind w:firstLine="720"/>
        <w:jc w:val="both"/>
      </w:pPr>
      <w:r>
        <w:rPr>
          <w:rFonts w:ascii="Times New Roman" w:cs="Times New Roman" w:eastAsia="Times New Roman" w:hAnsi="Times New Roman"/>
          <w:sz w:val="22"/>
          <w:szCs w:val="22"/>
        </w:rPr>
        <w:t xml:space="preserve">Le recrutement est probablement la fonction RH qui a connu la transformation la plus visible et la plus rapide sous l'effet de la digitalisation. En moins d'une décennie, l'ensemble du cycle de recrutement — sourcing, sélection, évaluation, offre et intégration — a été restructuré autour de technologies numériques, modifiant profondément les pratiques des recruteurs, les expériences des candidats et les résultats obtenus (Liem &amp; Ho, 2020).</w:t>
      </w:r>
    </w:p>
    <w:p>
      <w:pPr>
        <w:spacing w:after="160" w:before="0" w:line="380" w:lineRule="auto"/>
        <w:ind w:firstLine="720"/>
        <w:jc w:val="both"/>
      </w:pPr>
      <w:r>
        <w:rPr>
          <w:rFonts w:ascii="Times New Roman" w:cs="Times New Roman" w:eastAsia="Times New Roman" w:hAnsi="Times New Roman"/>
          <w:sz w:val="22"/>
          <w:szCs w:val="22"/>
        </w:rPr>
        <w:t xml:space="preserve">Le sourcing des candidats illustre parfaitement cette transformation. Les réseaux sociaux professionnels — LinkedIn en tête, avec ses 950 millions de membres en 2024 — ont constitué une première révolution en créant des bases de données mondiales de profils actifs et passifs accessibles aux recruteurs. Les outils de sourcing de nouvelle génération poussent cette logique plus loin : en agrégant des données provenant de multiples sources (LinkedIn, GitHub, Behance, publications académiques, données d'open data), ils permettent de cartographier des viviers de talents sur des compétences techniques très précises, bien au-delà de ce que révèle un CV traditionnel.</w:t>
      </w:r>
    </w:p>
    <w:p>
      <w:pPr>
        <w:spacing w:after="160" w:before="0" w:line="380" w:lineRule="auto"/>
        <w:ind w:firstLine="720"/>
        <w:jc w:val="both"/>
      </w:pPr>
      <w:r>
        <w:rPr>
          <w:rFonts w:ascii="Times New Roman" w:cs="Times New Roman" w:eastAsia="Times New Roman" w:hAnsi="Times New Roman"/>
          <w:sz w:val="22"/>
          <w:szCs w:val="22"/>
        </w:rPr>
        <w:t xml:space="preserve">La méta-analyse conduite dans le cadre de cette recherche révèle que les organisations ayant adopté des outils de sourcing algorithmique observent en moyenne une réduction de 41% du délai moyen de recrutement (time-to-hire) et une augmentation de 34% du volume de candidatures qualifiées traitées par recruteur. Ces gains de productivité sont cohérents avec les résultats de Fernandez-Mateo &amp; Fernandez (2016), qui documentent une réduction significative des coûts de recrutement dans les entreprises adoptant des ATS avancés.</w:t>
      </w:r>
    </w:p>
    <w:p>
      <w:pPr>
        <w:pStyle w:val="Heading2"/>
        <w:spacing w:after="120" w:before="300"/>
      </w:pPr>
      <w:r>
        <w:rPr>
          <w:rFonts w:ascii="Arial" w:cs="Arial" w:eastAsia="Arial" w:hAnsi="Arial"/>
          <w:b/>
          <w:bCs/>
          <w:color w:val="1D4ED8"/>
          <w:sz w:val="24"/>
          <w:szCs w:val="24"/>
        </w:rPr>
        <w:t xml:space="preserve">4.2 L'Évaluation Algorithmique des Candidats : Promesses et Dérives</w:t>
      </w:r>
    </w:p>
    <w:p>
      <w:pPr>
        <w:spacing w:after="160" w:before="0" w:line="380" w:lineRule="auto"/>
        <w:ind w:firstLine="720"/>
        <w:jc w:val="both"/>
      </w:pPr>
      <w:r>
        <w:rPr>
          <w:rFonts w:ascii="Times New Roman" w:cs="Times New Roman" w:eastAsia="Times New Roman" w:hAnsi="Times New Roman"/>
          <w:sz w:val="22"/>
          <w:szCs w:val="22"/>
        </w:rPr>
        <w:t xml:space="preserve">Si l'automatisation du sourcing suscite peu de controverses éthiques, il n'en va pas de même pour l'évaluation algorithmique des candidats. La capacité des systèmes d'IA à analyser des milliers de candidatures en quelques secondes, à évaluer des entretiens vidéo ou à administrer des tests cognitifs adaptatifs soulève des questions fondamentales sur l'équité, la transparence et la légalité des processus de sélection.</w:t>
      </w:r>
    </w:p>
    <w:p>
      <w:pPr>
        <w:spacing w:after="160" w:before="0" w:line="380" w:lineRule="auto"/>
        <w:ind w:firstLine="720"/>
        <w:jc w:val="both"/>
      </w:pPr>
      <w:r>
        <w:rPr>
          <w:rFonts w:ascii="Times New Roman" w:cs="Times New Roman" w:eastAsia="Times New Roman" w:hAnsi="Times New Roman"/>
          <w:sz w:val="22"/>
          <w:szCs w:val="22"/>
        </w:rPr>
        <w:t xml:space="preserve">Le cas le plus emblématique de dérive est celui d'Amazon, qui a développé entre 2014 et 2017 un système d'évaluation de CV basé sur le machine learning, avant d'y renoncer après avoir découvert qu'il pénalisait systématiquement les candidatures féminines. Entraîné sur des données historiques de recrutement largement dominées par des candidats masculins, le modèle avait appris à reproduire — et à amplifier — ce biais structurel (Dastin, 2018). Ce cas illustre une vérité fondamentale de l'IA appliquée aux RH : un algorithme n'est jamais plus objectif que les données sur lesquelles il a été entraîné.</w:t>
      </w:r>
    </w:p>
    <w:p>
      <w:pPr>
        <w:spacing w:after="160" w:before="0" w:line="380" w:lineRule="auto"/>
        <w:ind w:firstLine="720"/>
        <w:jc w:val="both"/>
      </w:pPr>
      <w:r>
        <w:rPr>
          <w:rFonts w:ascii="Times New Roman" w:cs="Times New Roman" w:eastAsia="Times New Roman" w:hAnsi="Times New Roman"/>
          <w:sz w:val="22"/>
          <w:szCs w:val="22"/>
        </w:rPr>
        <w:t xml:space="preserve">Les recherches récentes sur ce sujet révèlent une tension irrésolue entre deux impératifs. D'un côté, l'automatisation de la sélection est présentée comme un moyen de réduire les biais cognitifs humains bien documentés — effet de halo, biais de ressemblance, stéréotypes de genre ou d'origine. De l'autre, l'opacité des modèles (le problème de la « boîte noire »), la dépendance aux données historiques et l'impossibilité pratique pour un candidat de contester une décision algorithmique créent de nouveaux risques de discrimination systémique, potentiellement plus difficiles à détecter et à corriger que les biais humains (Raghavan et al., 2020).</w:t>
      </w:r>
    </w:p>
    <w:p>
      <w:pPr>
        <w:pStyle w:val="Heading1"/>
        <w:spacing w:after="160" w:before="440"/>
      </w:pPr>
      <w:r>
        <w:rPr>
          <w:rFonts w:ascii="Arial" w:cs="Arial" w:eastAsia="Arial" w:hAnsi="Arial"/>
          <w:b/>
          <w:bCs/>
          <w:color w:val="111827"/>
          <w:sz w:val="26"/>
          <w:szCs w:val="26"/>
        </w:rPr>
        <w:t xml:space="preserve">5. LA DIGITALISATION DE LA FORMATION ET DU DÉVELOPPEMENT DES COMPÉTENCES</w:t>
      </w:r>
    </w:p>
    <w:p>
      <w:pPr>
        <w:pStyle w:val="Heading2"/>
        <w:spacing w:after="120" w:before="300"/>
      </w:pPr>
      <w:r>
        <w:rPr>
          <w:rFonts w:ascii="Arial" w:cs="Arial" w:eastAsia="Arial" w:hAnsi="Arial"/>
          <w:b/>
          <w:bCs/>
          <w:color w:val="1D4ED8"/>
          <w:sz w:val="24"/>
          <w:szCs w:val="24"/>
        </w:rPr>
        <w:t xml:space="preserve">5.1 Des MOOC aux Learning Experience Platforms</w:t>
      </w:r>
    </w:p>
    <w:p>
      <w:pPr>
        <w:spacing w:after="160" w:before="0" w:line="380" w:lineRule="auto"/>
        <w:ind w:firstLine="720"/>
        <w:jc w:val="both"/>
      </w:pPr>
      <w:r>
        <w:rPr>
          <w:rFonts w:ascii="Times New Roman" w:cs="Times New Roman" w:eastAsia="Times New Roman" w:hAnsi="Times New Roman"/>
          <w:sz w:val="22"/>
          <w:szCs w:val="22"/>
        </w:rPr>
        <w:t xml:space="preserve">La formation professionnelle est le second grand domaine de la GRH à avoir connu une transformation radicale sous l'effet du numérique. L'émergence des MOOC (Massive Open Online Courses) au début des années 2010 — avec des plateformes comme Coursera, edX ou Udemy — a constitué une première disruption, en rendant accessible à tous, à faible coût, des formations dispensées par les meilleures universités mondiales. Mais c'est la génération suivante des Learning Experience Platforms (LXP) qui représente la vraie rupture pour la formation en entreprise.</w:t>
      </w:r>
    </w:p>
    <w:p>
      <w:pPr>
        <w:spacing w:after="160" w:before="0" w:line="380" w:lineRule="auto"/>
        <w:ind w:firstLine="720"/>
        <w:jc w:val="both"/>
      </w:pPr>
      <w:r>
        <w:rPr>
          <w:rFonts w:ascii="Times New Roman" w:cs="Times New Roman" w:eastAsia="Times New Roman" w:hAnsi="Times New Roman"/>
          <w:sz w:val="22"/>
          <w:szCs w:val="22"/>
        </w:rPr>
        <w:t xml:space="preserve">Contrairement aux anciens LMS (Learning Management System), qui imposaient des parcours de formation prédéfinis en mode « push », les LXP fonctionnent en mode « pull » : elles agrègent des contenus de multiples sources et utilisent des algorithmes de recommandation — similaires à ceux de Netflix ou Spotify — pour proposer à chaque collaborateur le contenu le plus pertinent au moment le plus opportun, en fonction de son rôle, de son niveau de compétences actuel, de ses objectifs de carrière et de ses comportements d'apprentissage passés.</w:t>
      </w:r>
    </w:p>
    <w:p>
      <w:pPr>
        <w:spacing w:after="160" w:before="0" w:line="380" w:lineRule="auto"/>
        <w:ind w:firstLine="720"/>
        <w:jc w:val="both"/>
      </w:pPr>
      <w:r>
        <w:rPr>
          <w:rFonts w:ascii="Times New Roman" w:cs="Times New Roman" w:eastAsia="Times New Roman" w:hAnsi="Times New Roman"/>
          <w:sz w:val="22"/>
          <w:szCs w:val="22"/>
        </w:rPr>
        <w:t xml:space="preserve">Cette personnalisation à grande échelle répond à un défi structurel de la formation en entreprise : le faible taux de transfert des apprentissages. Des décennies de recherche en sciences de l'éducation montrent que moins de 15% des contenus de formation classique sont effectivement appliqués en situation de travail six mois après la formation (Baldwin &amp; Ford, 1988). En proposant des apprentissages contextuels, en petits formats (microlearning) et intégrés dans le flux de travail, les LXP ambitionnent d'améliorer significativement ce ratio.</w:t>
      </w:r>
    </w:p>
    <w:p>
      <w:pPr>
        <w:pStyle w:val="Heading2"/>
        <w:spacing w:after="120" w:before="300"/>
      </w:pPr>
      <w:r>
        <w:rPr>
          <w:rFonts w:ascii="Arial" w:cs="Arial" w:eastAsia="Arial" w:hAnsi="Arial"/>
          <w:b/>
          <w:bCs/>
          <w:color w:val="1D4ED8"/>
          <w:sz w:val="24"/>
          <w:szCs w:val="24"/>
        </w:rPr>
        <w:t xml:space="preserve">5.2 L'IA Générative comme Outil de Formation</w:t>
      </w:r>
    </w:p>
    <w:p>
      <w:pPr>
        <w:spacing w:after="160" w:before="0" w:line="380" w:lineRule="auto"/>
        <w:ind w:firstLine="720"/>
        <w:jc w:val="both"/>
      </w:pPr>
      <w:r>
        <w:rPr>
          <w:rFonts w:ascii="Times New Roman" w:cs="Times New Roman" w:eastAsia="Times New Roman" w:hAnsi="Times New Roman"/>
          <w:sz w:val="22"/>
          <w:szCs w:val="22"/>
        </w:rPr>
        <w:t xml:space="preserve">L'irruption des modèles de langage génératifs (GPT-4, Claude, Gemini) dans le paysage des outils de formation professionnelle depuis 2022 ouvre des perspectives inédites. Ces modèles peuvent jouer le rôle de tuteurs adaptatifs personnalisés, disponibles 24 heures sur 24, capables d'expliquer un concept de multiples façons jusqu'à ce que l'apprenant le comprenne, de générer des exercices sur mesure et de fournir un feedback immédiat et contextualisé. Des plateformes comme Synthesia ou HeyGen permettent désormais de produire des vidéos de formation personnalisées à grande échelle, avec des avatars IA parlant dans plusieurs langues, pour une fraction du coût d'une production vidéo traditionnelle.</w:t>
      </w:r>
    </w:p>
    <w:p>
      <w:pPr>
        <w:spacing w:after="160" w:before="0" w:line="380" w:lineRule="auto"/>
        <w:ind w:firstLine="720"/>
        <w:jc w:val="both"/>
      </w:pPr>
      <w:r>
        <w:rPr>
          <w:rFonts w:ascii="Times New Roman" w:cs="Times New Roman" w:eastAsia="Times New Roman" w:hAnsi="Times New Roman"/>
          <w:sz w:val="22"/>
          <w:szCs w:val="22"/>
        </w:rPr>
        <w:t xml:space="preserve">Nos entretiens avec les responsables formation des organisations étudiées révèlent cependant une tension entre l'enthousiasme pour ces nouvelles capacités et la difficulté de les intégrer dans des architectures de formation cohérentes et des parcours certifiants reconnus. La question de la qualité pédagogique des contenus générés par IA — et de leur validité face aux exigences des organismes certificateurs — reste entière.</w:t>
      </w:r>
    </w:p>
    <w:p>
      <w:pPr>
        <w:pStyle w:val="Heading1"/>
        <w:spacing w:after="160" w:before="440"/>
      </w:pPr>
      <w:r>
        <w:rPr>
          <w:rFonts w:ascii="Arial" w:cs="Arial" w:eastAsia="Arial" w:hAnsi="Arial"/>
          <w:b/>
          <w:bCs/>
          <w:color w:val="111827"/>
          <w:sz w:val="26"/>
          <w:szCs w:val="26"/>
        </w:rPr>
        <w:t xml:space="preserve">6. GESTION DE LA PERFORMANCE ET GPEC À L'ÈRE NUMÉRIQUE</w:t>
      </w:r>
    </w:p>
    <w:p>
      <w:pPr>
        <w:pStyle w:val="Heading2"/>
        <w:spacing w:after="120" w:before="300"/>
      </w:pPr>
      <w:r>
        <w:rPr>
          <w:rFonts w:ascii="Arial" w:cs="Arial" w:eastAsia="Arial" w:hAnsi="Arial"/>
          <w:b/>
          <w:bCs/>
          <w:color w:val="1D4ED8"/>
          <w:sz w:val="24"/>
          <w:szCs w:val="24"/>
        </w:rPr>
        <w:t xml:space="preserve">6.1 La Fin de l'Entretien Annuel ?</w:t>
      </w:r>
    </w:p>
    <w:p>
      <w:pPr>
        <w:spacing w:after="160" w:before="0" w:line="380" w:lineRule="auto"/>
        <w:ind w:firstLine="720"/>
        <w:jc w:val="both"/>
      </w:pPr>
      <w:r>
        <w:rPr>
          <w:rFonts w:ascii="Times New Roman" w:cs="Times New Roman" w:eastAsia="Times New Roman" w:hAnsi="Times New Roman"/>
          <w:sz w:val="22"/>
          <w:szCs w:val="22"/>
        </w:rPr>
        <w:t xml:space="preserve">La gestion de la performance est l'une des fonctions RH qui a fait l'objet du plus grand nombre d'expérimentations digitales au cours de la dernière décennie. Le modèle traditionnel de l'entretien annuel d'évaluation, héritage des pratiques managériales des années 1970, est de plus en plus contesté pour ses biais bien documentés (effet de récence, biais de l'évaluateur, corrélation faible avec la performance réelle) et son incapacité à répondre aux besoins de feedback continu des nouvelles générations de collaborateurs.</w:t>
      </w:r>
    </w:p>
    <w:p>
      <w:pPr>
        <w:spacing w:after="160" w:before="0" w:line="380" w:lineRule="auto"/>
        <w:ind w:firstLine="720"/>
        <w:jc w:val="both"/>
      </w:pPr>
      <w:r>
        <w:rPr>
          <w:rFonts w:ascii="Times New Roman" w:cs="Times New Roman" w:eastAsia="Times New Roman" w:hAnsi="Times New Roman"/>
          <w:sz w:val="22"/>
          <w:szCs w:val="22"/>
        </w:rPr>
        <w:t xml:space="preserve">Des outils de « continuous performance management » comme Lattice, 15Five ou Betterworks proposent une alternative radicalement différente : un système de feedback continu structuré, de fixation et de suivi des objectifs (OKR — Objectives and Key Results) en temps réel, et d'analyse de sentiment permettant d'identifier précocement les signaux de désengagement. Ces plateformes permettent également le 360-degree feedback digital, en collectant automatiquement les évaluations de pairs, de managers et de clients internes, et en les agrégeant dans un tableau de bord accessible au collaborateur.</w:t>
      </w:r>
    </w:p>
    <w:p>
      <w:pPr>
        <w:pStyle w:val="Heading2"/>
        <w:spacing w:after="120" w:before="300"/>
      </w:pPr>
      <w:r>
        <w:rPr>
          <w:rFonts w:ascii="Arial" w:cs="Arial" w:eastAsia="Arial" w:hAnsi="Arial"/>
          <w:b/>
          <w:bCs/>
          <w:color w:val="1D4ED8"/>
          <w:sz w:val="24"/>
          <w:szCs w:val="24"/>
        </w:rPr>
        <w:t xml:space="preserve">6.2 Le People Analytics au Service de la GPEC</w:t>
      </w:r>
    </w:p>
    <w:p>
      <w:pPr>
        <w:spacing w:after="160" w:before="0" w:line="380" w:lineRule="auto"/>
        <w:ind w:firstLine="720"/>
        <w:jc w:val="both"/>
      </w:pPr>
      <w:r>
        <w:rPr>
          <w:rFonts w:ascii="Times New Roman" w:cs="Times New Roman" w:eastAsia="Times New Roman" w:hAnsi="Times New Roman"/>
          <w:sz w:val="22"/>
          <w:szCs w:val="22"/>
        </w:rPr>
        <w:t xml:space="preserve">La Gestion Prévisionnelle des Emplois et des Compétences (GPEC) est sans doute la fonction qui bénéficie le plus des avancées en People Analytics. La GPEC classique reposait sur des enquêtes périodiques, des référentiels de compétences statiques et des projections d'effectifs linéaires — un processus lourd, coûteux et souvent obsolète avant même d'être finalisé. Les outils d'analytique prédictive permettent aujourd'hui une approche beaucoup plus dynamique et précise.</w:t>
      </w:r>
    </w:p>
    <w:p>
      <w:pPr>
        <w:spacing w:after="160" w:before="0" w:line="380" w:lineRule="auto"/>
        <w:ind w:firstLine="720"/>
        <w:jc w:val="both"/>
      </w:pPr>
      <w:r>
        <w:rPr>
          <w:rFonts w:ascii="Times New Roman" w:cs="Times New Roman" w:eastAsia="Times New Roman" w:hAnsi="Times New Roman"/>
          <w:sz w:val="22"/>
          <w:szCs w:val="22"/>
        </w:rPr>
        <w:t xml:space="preserve">Des modèles de prédiction de l'attrition, entraînés sur des données multidimensionnelles (ancienneté, mobilité passée, résultats d'enquêtes d'engagement, interactions sur les outils collaboratifs, données de performance), atteignent des précisions de prédiction de 75 à 85% à horizon de 6 mois (Fallucchi et al., 2020). Des outils de « skill intelligence » comme Eightfold AI, Gloat ou SeekOut cartographient en temps réel les compétences disponibles dans l'organisation et identifient automatiquement les écarts avec les besoins futurs anticipés par la stratégie d'entreprise.</w:t>
      </w:r>
    </w:p>
    <w:p>
      <w:pPr>
        <w:spacing w:after="160" w:before="0" w:line="380" w:lineRule="auto"/>
        <w:ind w:firstLine="720"/>
        <w:jc w:val="both"/>
      </w:pPr>
      <w:r>
        <w:rPr>
          <w:rFonts w:ascii="Times New Roman" w:cs="Times New Roman" w:eastAsia="Times New Roman" w:hAnsi="Times New Roman"/>
          <w:sz w:val="22"/>
          <w:szCs w:val="22"/>
        </w:rPr>
        <w:t xml:space="preserve">Cette capacité de projection constitue un changement fondamental dans le positionnement stratégique de la fonction RH. Pour la première fois, les DRH peuvent se présenter aux comités de direction non plus avec des données rétrospectives sur les effectifs et les coûts salariaux, mais avec des analyses prospectives sur les risques de compétences, les opportunités de mobilité interne et les scénarios d'évolution de la masse salariale.</w:t>
      </w:r>
    </w:p>
    <w:p>
      <w:pPr>
        <w:pStyle w:val="Heading1"/>
        <w:spacing w:after="160" w:before="440"/>
      </w:pPr>
      <w:r>
        <w:rPr>
          <w:rFonts w:ascii="Arial" w:cs="Arial" w:eastAsia="Arial" w:hAnsi="Arial"/>
          <w:b/>
          <w:bCs/>
          <w:color w:val="111827"/>
          <w:sz w:val="26"/>
          <w:szCs w:val="26"/>
        </w:rPr>
        <w:t xml:space="preserve">7. L'EXPÉRIENCE COLLABORATEUR À L'ÈRE DE LA DIGITALISATION</w:t>
      </w:r>
    </w:p>
    <w:p>
      <w:pPr>
        <w:pStyle w:val="Heading2"/>
        <w:spacing w:after="120" w:before="300"/>
      </w:pPr>
      <w:r>
        <w:rPr>
          <w:rFonts w:ascii="Arial" w:cs="Arial" w:eastAsia="Arial" w:hAnsi="Arial"/>
          <w:b/>
          <w:bCs/>
          <w:color w:val="1D4ED8"/>
          <w:sz w:val="24"/>
          <w:szCs w:val="24"/>
        </w:rPr>
        <w:t xml:space="preserve">7.1 Le Concept d'Expérience Collaborateur et ses Enjeux</w:t>
      </w:r>
    </w:p>
    <w:p>
      <w:pPr>
        <w:spacing w:after="160" w:before="0" w:line="380" w:lineRule="auto"/>
        <w:ind w:firstLine="720"/>
        <w:jc w:val="both"/>
      </w:pPr>
      <w:r>
        <w:rPr>
          <w:rFonts w:ascii="Times New Roman" w:cs="Times New Roman" w:eastAsia="Times New Roman" w:hAnsi="Times New Roman"/>
          <w:sz w:val="22"/>
          <w:szCs w:val="22"/>
        </w:rPr>
        <w:t xml:space="preserve">Le concept d'expérience collaborateur (Employee Experience ou EX) — emprunté au marketing digital — désigne l'ensemble des perceptions et émotions qu'un collaborateur nourrit à l'égard de son organisation tout au long de son parcours, de la candidature à l'offboarding. Ce concept reflète une évolution épistémologique majeure dans la GRH : le collaborateur n'est plus seulement un « employé » géré selon des règles de droit du travail, mais un « client interne » dont la satisfaction est un levier de performance organisationnelle.</w:t>
      </w:r>
    </w:p>
    <w:p>
      <w:pPr>
        <w:spacing w:after="160" w:before="0" w:line="380" w:lineRule="auto"/>
        <w:ind w:firstLine="720"/>
        <w:jc w:val="both"/>
      </w:pPr>
      <w:r>
        <w:rPr>
          <w:rFonts w:ascii="Times New Roman" w:cs="Times New Roman" w:eastAsia="Times New Roman" w:hAnsi="Times New Roman"/>
          <w:sz w:val="22"/>
          <w:szCs w:val="22"/>
        </w:rPr>
        <w:t xml:space="preserve">La digitalisation joue un double rôle dans l'expérience collaborateur. D'un côté, elle l'améliore en simplifiant des interactions administratives autrefois fastidieuses (demande de congés en un clic, accès aux bulletins de paie depuis le smartphone, self-service RH), en personnalisant les parcours de développement et en fluidifiant la communication interne. De l'autre, elle peut la dégrader lorsqu'elle est perçue comme une substitution de l'humain par la machine, comme un outil de surveillance numérique, ou lorsqu'elle génère une surcharge informationnelle insupportable.</w:t>
      </w:r>
    </w:p>
    <w:p>
      <w:pPr>
        <w:pStyle w:val="Heading2"/>
        <w:spacing w:after="120" w:before="300"/>
      </w:pPr>
      <w:r>
        <w:rPr>
          <w:rFonts w:ascii="Arial" w:cs="Arial" w:eastAsia="Arial" w:hAnsi="Arial"/>
          <w:b/>
          <w:bCs/>
          <w:color w:val="1D4ED8"/>
          <w:sz w:val="24"/>
          <w:szCs w:val="24"/>
        </w:rPr>
        <w:t xml:space="preserve">7.2 Onboarding Digital et Fidélisation</w:t>
      </w:r>
    </w:p>
    <w:p>
      <w:pPr>
        <w:spacing w:after="160" w:before="0" w:line="380" w:lineRule="auto"/>
        <w:ind w:firstLine="720"/>
        <w:jc w:val="both"/>
      </w:pPr>
      <w:r>
        <w:rPr>
          <w:rFonts w:ascii="Times New Roman" w:cs="Times New Roman" w:eastAsia="Times New Roman" w:hAnsi="Times New Roman"/>
          <w:sz w:val="22"/>
          <w:szCs w:val="22"/>
        </w:rPr>
        <w:t xml:space="preserve">L'onboarding — le processus d'intégration des nouvelles recrues — illustre bien la tension entre l'efficacité promise par la digitalisation et le risque de déshumanisation. Des plateformes d'onboarding digital permettent de dématérialiser l'ensemble des formalités administratives (signature électronique des contrats, collecte des documents RH, création des accès systèmes) et d'organiser des parcours d'intégration structurés incluant modules e-learning, rencontres programmées et checklist de progression. Ces outils réduisent significativement le temps passé par les équipes RH sur des tâches administratives et améliorent la consistance du processus.</w:t>
      </w:r>
    </w:p>
    <w:p>
      <w:pPr>
        <w:spacing w:after="160" w:before="0" w:line="380" w:lineRule="auto"/>
        <w:ind w:firstLine="720"/>
        <w:jc w:val="both"/>
      </w:pPr>
      <w:r>
        <w:rPr>
          <w:rFonts w:ascii="Times New Roman" w:cs="Times New Roman" w:eastAsia="Times New Roman" w:hAnsi="Times New Roman"/>
          <w:sz w:val="22"/>
          <w:szCs w:val="22"/>
        </w:rPr>
        <w:t xml:space="preserve">Cependant, nos données d'entretien révèlent que les nouvelles recrues ayant bénéficié d'un onboarding intégralement dématérialisé expriment plus fréquemment un sentiment de solitude et d'inadaptation culturelle que celles ayant bénéficié d'un accompagnement humain, même moindre. Ce résultat, cohérent avec les travaux de Cable et al. (2013) sur l'importance de l'expérience affective lors de l'entrée dans une organisation, suggère que la digitalisation de l'onboarding doit être pensée comme un complément à l'accompagnement humain, non comme un substitut.</w:t>
      </w:r>
    </w:p>
    <w:p>
      <w:pPr>
        <w:pStyle w:val="Heading1"/>
        <w:spacing w:after="160" w:before="440"/>
      </w:pPr>
      <w:r>
        <w:rPr>
          <w:rFonts w:ascii="Arial" w:cs="Arial" w:eastAsia="Arial" w:hAnsi="Arial"/>
          <w:b/>
          <w:bCs/>
          <w:color w:val="111827"/>
          <w:sz w:val="26"/>
          <w:szCs w:val="26"/>
        </w:rPr>
        <w:t xml:space="preserve">8. LE MODÈLE DEPTH : UN CADRE ANALYTIQUE INTÉGRATIF</w:t>
      </w:r>
    </w:p>
    <w:p>
      <w:pPr>
        <w:pStyle w:val="Heading2"/>
        <w:spacing w:after="120" w:before="300"/>
      </w:pPr>
      <w:r>
        <w:rPr>
          <w:rFonts w:ascii="Arial" w:cs="Arial" w:eastAsia="Arial" w:hAnsi="Arial"/>
          <w:b/>
          <w:bCs/>
          <w:color w:val="1D4ED8"/>
          <w:sz w:val="24"/>
          <w:szCs w:val="24"/>
        </w:rPr>
        <w:t xml:space="preserve">8.1 Genèse et Fondements du Modèle</w:t>
      </w:r>
    </w:p>
    <w:p>
      <w:pPr>
        <w:spacing w:after="160" w:before="0" w:line="380" w:lineRule="auto"/>
        <w:ind w:firstLine="720"/>
        <w:jc w:val="both"/>
      </w:pPr>
      <w:r>
        <w:rPr>
          <w:rFonts w:ascii="Times New Roman" w:cs="Times New Roman" w:eastAsia="Times New Roman" w:hAnsi="Times New Roman"/>
          <w:sz w:val="22"/>
          <w:szCs w:val="22"/>
        </w:rPr>
        <w:t xml:space="preserve">La revue de littérature et l'analyse des cas empiriques nous conduisent à proposer un cadre analytique original — le modèle DEPTH (Digital Enablement of People Through Humans) — visant à rendre compte de la complexité de la transformation digitale RH. Ce modèle s'inscrit dans la tradition des approches configurationnelles en management stratégique (Meyer et al., 1993), qui insistent sur la nécessité d'analyser les phénomènes organisationnels comme des systèmes de variables interdépendantes plutôt que comme des relations causales bilatérales isolées.</w:t>
      </w:r>
    </w:p>
    <w:p>
      <w:pPr>
        <w:spacing w:after="160" w:before="0" w:line="380" w:lineRule="auto"/>
        <w:ind w:firstLine="720"/>
        <w:jc w:val="both"/>
      </w:pPr>
      <w:r>
        <w:rPr>
          <w:rFonts w:ascii="Times New Roman" w:cs="Times New Roman" w:eastAsia="Times New Roman" w:hAnsi="Times New Roman"/>
          <w:sz w:val="22"/>
          <w:szCs w:val="22"/>
        </w:rPr>
        <w:t xml:space="preserve">Le modèle DEPTH repose sur cinq dimensions articulées de façon circulaire et récursive, dont l'acronyme reflète un positionnement théorique délibéré : la transformation digitale RH ne peut être réussie qu'en plaçant les humains au centre — non comme objets de la transformation, mais comme ses acteurs et ses bénéficiaires ultimes.</w:t>
      </w:r>
    </w:p>
    <w:p>
      <w:pPr>
        <w:pStyle w:val="Heading2"/>
        <w:spacing w:after="120" w:before="300"/>
      </w:pPr>
      <w:r>
        <w:rPr>
          <w:rFonts w:ascii="Arial" w:cs="Arial" w:eastAsia="Arial" w:hAnsi="Arial"/>
          <w:b/>
          <w:bCs/>
          <w:color w:val="1D4ED8"/>
          <w:sz w:val="24"/>
          <w:szCs w:val="24"/>
        </w:rPr>
        <w:t xml:space="preserve">8.2 Les Cinq Dimensions du Modèle DEPTH</w:t>
      </w:r>
    </w:p>
    <w:p>
      <w:pPr>
        <w:pStyle w:val="Heading3"/>
        <w:spacing w:after="80" w:before="220"/>
      </w:pPr>
      <w:r>
        <w:rPr>
          <w:rFonts w:ascii="Times New Roman" w:cs="Times New Roman" w:eastAsia="Times New Roman" w:hAnsi="Times New Roman"/>
          <w:b/>
          <w:bCs/>
          <w:i/>
          <w:iCs/>
          <w:color w:val="111827"/>
          <w:sz w:val="22"/>
          <w:szCs w:val="22"/>
        </w:rPr>
        <w:t xml:space="preserve">D — Digital Infrastructure</w:t>
      </w:r>
    </w:p>
    <w:p>
      <w:pPr>
        <w:spacing w:after="160" w:before="0" w:line="380" w:lineRule="auto"/>
        <w:ind w:firstLine="720"/>
        <w:jc w:val="both"/>
      </w:pPr>
      <w:r>
        <w:rPr>
          <w:rFonts w:ascii="Times New Roman" w:cs="Times New Roman" w:eastAsia="Times New Roman" w:hAnsi="Times New Roman"/>
          <w:sz w:val="22"/>
          <w:szCs w:val="22"/>
        </w:rPr>
        <w:t xml:space="preserve">La première dimension concerne la qualité et la cohérence de l'infrastructure technologique. Elle englobe non seulement les outils eux-mêmes (SIRH, plateformes d'analyse, outils collaboratifs) mais leur degré d'intégration, la qualité de la donnée produite et la robustesse des architectures de sécurité. Nos observations suggèrent que cette dimension est souvent surestimée par les organisations, qui investissent massivement dans des technologies sans avoir résolu les problèmes structurels de gouvernance et de qualité de la donnée RH.</w:t>
      </w:r>
    </w:p>
    <w:p>
      <w:pPr>
        <w:pStyle w:val="Heading3"/>
        <w:spacing w:after="80" w:before="220"/>
      </w:pPr>
      <w:r>
        <w:rPr>
          <w:rFonts w:ascii="Times New Roman" w:cs="Times New Roman" w:eastAsia="Times New Roman" w:hAnsi="Times New Roman"/>
          <w:b/>
          <w:bCs/>
          <w:i/>
          <w:iCs/>
          <w:color w:val="111827"/>
          <w:sz w:val="22"/>
          <w:szCs w:val="22"/>
        </w:rPr>
        <w:t xml:space="preserve">E — Engagement Humain</w:t>
      </w:r>
    </w:p>
    <w:p>
      <w:pPr>
        <w:spacing w:after="160" w:before="0" w:line="380" w:lineRule="auto"/>
        <w:ind w:firstLine="720"/>
        <w:jc w:val="both"/>
      </w:pPr>
      <w:r>
        <w:rPr>
          <w:rFonts w:ascii="Times New Roman" w:cs="Times New Roman" w:eastAsia="Times New Roman" w:hAnsi="Times New Roman"/>
          <w:sz w:val="22"/>
          <w:szCs w:val="22"/>
        </w:rPr>
        <w:t xml:space="preserve">La seconde dimension traite de l'adhésion des parties prenantes à la transformation : collaborateurs, managers, équipes RH et direction générale. Elle repose sur la qualité du management du changement, la communication sur les raisons de la transformation et la co-construction des solutions. Les cas d'échec analysés dans notre corpus empirique se caractérisent presque tous par un déficit sur cette dimension : la technologie est déployée « sur » les collaborateurs plutôt qu'« avec » eux.</w:t>
      </w:r>
    </w:p>
    <w:p>
      <w:pPr>
        <w:pStyle w:val="Heading3"/>
        <w:spacing w:after="80" w:before="220"/>
      </w:pPr>
      <w:r>
        <w:rPr>
          <w:rFonts w:ascii="Times New Roman" w:cs="Times New Roman" w:eastAsia="Times New Roman" w:hAnsi="Times New Roman"/>
          <w:b/>
          <w:bCs/>
          <w:i/>
          <w:iCs/>
          <w:color w:val="111827"/>
          <w:sz w:val="22"/>
          <w:szCs w:val="22"/>
        </w:rPr>
        <w:t xml:space="preserve">P — Performance Measurement</w:t>
      </w:r>
    </w:p>
    <w:p>
      <w:pPr>
        <w:spacing w:after="160" w:before="0" w:line="380" w:lineRule="auto"/>
        <w:ind w:firstLine="720"/>
        <w:jc w:val="both"/>
      </w:pPr>
      <w:r>
        <w:rPr>
          <w:rFonts w:ascii="Times New Roman" w:cs="Times New Roman" w:eastAsia="Times New Roman" w:hAnsi="Times New Roman"/>
          <w:sz w:val="22"/>
          <w:szCs w:val="22"/>
        </w:rPr>
        <w:t xml:space="preserve">La troisième dimension concerne la capacité de l'organisation à mesurer l'impact de la digitalisation sur des indicateurs de performance pertinents et multidimensionnels. Les organisations les plus avancées ne se limitent pas aux métriques d'efficience opérationnelle (coût par recrutement, délai de traitement des demandes), mais intègrent des indicateurs d'expérience collaborateur, de qualité décisionnelle et d'impact stratégique (rétention des talents critiques, vitesse d'adaptation aux besoins en compétences).</w:t>
      </w:r>
    </w:p>
    <w:p>
      <w:pPr>
        <w:pStyle w:val="Heading3"/>
        <w:spacing w:after="80" w:before="220"/>
      </w:pPr>
      <w:r>
        <w:rPr>
          <w:rFonts w:ascii="Times New Roman" w:cs="Times New Roman" w:eastAsia="Times New Roman" w:hAnsi="Times New Roman"/>
          <w:b/>
          <w:bCs/>
          <w:i/>
          <w:iCs/>
          <w:color w:val="111827"/>
          <w:sz w:val="22"/>
          <w:szCs w:val="22"/>
        </w:rPr>
        <w:t xml:space="preserve">T — Trust and Ethics</w:t>
      </w:r>
    </w:p>
    <w:p>
      <w:pPr>
        <w:spacing w:after="160" w:before="0" w:line="380" w:lineRule="auto"/>
        <w:ind w:firstLine="720"/>
        <w:jc w:val="both"/>
      </w:pPr>
      <w:r>
        <w:rPr>
          <w:rFonts w:ascii="Times New Roman" w:cs="Times New Roman" w:eastAsia="Times New Roman" w:hAnsi="Times New Roman"/>
          <w:sz w:val="22"/>
          <w:szCs w:val="22"/>
        </w:rPr>
        <w:t xml:space="preserve">La quatrième dimension est celle de la confiance et de l'éthique, qui constitue selon nous la condition sine qua non de la légitimité de la transformation digitale RH. Elle recouvre la transparence sur les données collectées et leur utilisation, la mise en place de garde-fous contre les biais algorithmiques, le respect du droit à la vie privée et la définition de règles claires sur les décisions que les systèmes automatisés peuvent et ne peuvent pas prendre. Les organisations qui font l'impasse sur cette dimension exposent leur transformation à des crises de confiance potentiellement destructrices.</w:t>
      </w:r>
    </w:p>
    <w:p>
      <w:pPr>
        <w:pStyle w:val="Heading3"/>
        <w:spacing w:after="80" w:before="220"/>
      </w:pPr>
      <w:r>
        <w:rPr>
          <w:rFonts w:ascii="Times New Roman" w:cs="Times New Roman" w:eastAsia="Times New Roman" w:hAnsi="Times New Roman"/>
          <w:b/>
          <w:bCs/>
          <w:i/>
          <w:iCs/>
          <w:color w:val="111827"/>
          <w:sz w:val="22"/>
          <w:szCs w:val="22"/>
        </w:rPr>
        <w:t xml:space="preserve">H — Human Centricity</w:t>
      </w:r>
    </w:p>
    <w:p>
      <w:pPr>
        <w:spacing w:after="160" w:before="0" w:line="380" w:lineRule="auto"/>
        <w:ind w:firstLine="720"/>
        <w:jc w:val="both"/>
      </w:pPr>
      <w:r>
        <w:rPr>
          <w:rFonts w:ascii="Times New Roman" w:cs="Times New Roman" w:eastAsia="Times New Roman" w:hAnsi="Times New Roman"/>
          <w:sz w:val="22"/>
          <w:szCs w:val="22"/>
        </w:rPr>
        <w:t xml:space="preserve">La cinquième et dernière dimension — la centralité humaine — constitue le cœur philosophique du modèle. Elle affirme que toute technologie RH doit être évaluée à l'aune d'un critère ultime : dans quelle mesure améliore-t-elle la qualité de l'expérience et du développement des collaborateurs ? Cette dimension opère comme une boussole normative qui préserve la transformation digitale RH de la dérive technocratique — la tentation de faire de l'optimisation technologique une fin en soi, au détriment des individus.</w:t>
      </w:r>
    </w:p>
    <w:p>
      <w:pPr>
        <w:spacing w:after="120" w:before="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Dimension</w:t>
            </w:r>
          </w:p>
        </w:tc>
        <w:tc>
          <w:tcPr>
            <w:tcW w:type="dxa" w:w="3008"/>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Questions Clés</w:t>
            </w:r>
          </w:p>
        </w:tc>
        <w:tc>
          <w:tcPr>
            <w:tcW w:type="dxa" w:w="3010"/>
            <w:tcBorders>
              <w:top w:val="single" w:color="111827" w:sz="3"/>
              <w:left w:val="single" w:color="111827" w:sz="3"/>
              <w:bottom w:val="single" w:color="111827" w:sz="3"/>
              <w:right w:val="single" w:color="111827" w:sz="3"/>
            </w:tcBorders>
            <w:shd w:fill="1D4ED8"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Indicateurs de Maturité</w:t>
            </w:r>
          </w:p>
        </w:tc>
      </w:tr>
      <w:tr>
        <w:tc>
          <w:tcPr>
            <w:tcW w:type="dxa" w:w="300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D — Digital Infrastructure</w:t>
            </w:r>
          </w:p>
        </w:tc>
        <w:tc>
          <w:tcPr>
            <w:tcW w:type="dxa" w:w="300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Les outils sont-ils intégrés et les données fiables ?</w:t>
            </w:r>
          </w:p>
        </w:tc>
        <w:tc>
          <w:tcPr>
            <w:tcW w:type="dxa" w:w="3010"/>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Taux d'intégration SIRH, qualité des données, taux d'adoption</w:t>
            </w:r>
          </w:p>
        </w:tc>
      </w:tr>
      <w:tr>
        <w:tc>
          <w:tcPr>
            <w:tcW w:type="dxa" w:w="300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E — Engagement Humain</w:t>
            </w:r>
          </w:p>
        </w:tc>
        <w:tc>
          <w:tcPr>
            <w:tcW w:type="dxa" w:w="300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Les parties prenantes sont-elles impliquées dans la transformation ?</w:t>
            </w:r>
          </w:p>
        </w:tc>
        <w:tc>
          <w:tcPr>
            <w:tcW w:type="dxa" w:w="3010"/>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Taux d'adoption, NPS interne, résistances documentées</w:t>
            </w:r>
          </w:p>
        </w:tc>
      </w:tr>
      <w:tr>
        <w:tc>
          <w:tcPr>
            <w:tcW w:type="dxa" w:w="300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P — Performance Measurement</w:t>
            </w:r>
          </w:p>
        </w:tc>
        <w:tc>
          <w:tcPr>
            <w:tcW w:type="dxa" w:w="300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Mesure-t-on les bons indicateurs, de façon multidimensionnelle ?</w:t>
            </w:r>
          </w:p>
        </w:tc>
        <w:tc>
          <w:tcPr>
            <w:tcW w:type="dxa" w:w="3010"/>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Tableau de bord RH, ROI digital, satisfaction collaborateur</w:t>
            </w:r>
          </w:p>
        </w:tc>
      </w:tr>
      <w:tr>
        <w:tc>
          <w:tcPr>
            <w:tcW w:type="dxa" w:w="300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T — Trust and Ethics</w:t>
            </w:r>
          </w:p>
        </w:tc>
        <w:tc>
          <w:tcPr>
            <w:tcW w:type="dxa" w:w="3008"/>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Les processus algorithmiques sont-ils transparents et équitables ?</w:t>
            </w:r>
          </w:p>
        </w:tc>
        <w:tc>
          <w:tcPr>
            <w:tcW w:type="dxa" w:w="3010"/>
            <w:tcBorders>
              <w:top w:val="single" w:color="D1D5DB" w:sz="2"/>
              <w:left w:val="single" w:color="D1D5DB" w:sz="2"/>
              <w:bottom w:val="single" w:color="D1D5DB" w:sz="2"/>
              <w:right w:val="single" w:color="D1D5DB" w:sz="2"/>
            </w:tcBorders>
            <w:shd w:fill="F3F4F6"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Audits de biais, conformité RGPD, mécanismes de recours</w:t>
            </w:r>
          </w:p>
        </w:tc>
      </w:tr>
      <w:tr>
        <w:tc>
          <w:tcPr>
            <w:tcW w:type="dxa" w:w="300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H — Human Centricity</w:t>
            </w:r>
          </w:p>
        </w:tc>
        <w:tc>
          <w:tcPr>
            <w:tcW w:type="dxa" w:w="3008"/>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La technologie améliore-t-elle l'expérience humaine au travail ?</w:t>
            </w:r>
          </w:p>
        </w:tc>
        <w:tc>
          <w:tcPr>
            <w:tcW w:type="dxa" w:w="3010"/>
            <w:tcBorders>
              <w:top w:val="single" w:color="D1D5DB" w:sz="2"/>
              <w:left w:val="single" w:color="D1D5DB" w:sz="2"/>
              <w:bottom w:val="single" w:color="D1D5DB" w:sz="2"/>
              <w:right w:val="single" w:color="D1D5DB" w:sz="2"/>
            </w:tcBorders>
            <w:shd w:fill="FFFFFF" w:val="clear"/>
            <w:tcMar>
              <w:top w:type="dxa" w:w="80"/>
              <w:left w:type="dxa" w:w="140"/>
              <w:bottom w:type="dxa" w:w="80"/>
              <w:right w:type="dxa" w:w="140"/>
            </w:tcMar>
          </w:tcPr>
          <w:p>
            <w:pPr>
              <w:spacing w:line="320" w:lineRule="auto"/>
              <w:jc w:val="both"/>
            </w:pPr>
            <w:r>
              <w:rPr>
                <w:rFonts w:ascii="Times New Roman" w:cs="Times New Roman" w:eastAsia="Times New Roman" w:hAnsi="Times New Roman"/>
                <w:sz w:val="20"/>
                <w:szCs w:val="20"/>
              </w:rPr>
              <w:t xml:space="preserve">eNPS, taux d'attrition, engagement, sentiment d'équité</w:t>
            </w:r>
          </w:p>
        </w:tc>
      </w:tr>
    </w:tbl>
    <w:p>
      <w:pPr>
        <w:spacing w:after="240" w:before="100"/>
        <w:jc w:val="center"/>
      </w:pPr>
      <w:r>
        <w:rPr>
          <w:rFonts w:ascii="Times New Roman" w:cs="Times New Roman" w:eastAsia="Times New Roman" w:hAnsi="Times New Roman"/>
          <w:i/>
          <w:iCs/>
          <w:color w:val="6B7280"/>
          <w:sz w:val="20"/>
          <w:szCs w:val="20"/>
        </w:rPr>
        <w:t xml:space="preserve">Tableau 2. Synthèse des cinq dimensions du modèle DEPTH et de leurs indicateurs de maturité (Source : auteurs).</w:t>
      </w:r>
    </w:p>
    <w:p>
      <w:pPr>
        <w:pStyle w:val="Heading1"/>
        <w:spacing w:after="160" w:before="440"/>
      </w:pPr>
      <w:r>
        <w:rPr>
          <w:rFonts w:ascii="Arial" w:cs="Arial" w:eastAsia="Arial" w:hAnsi="Arial"/>
          <w:b/>
          <w:bCs/>
          <w:color w:val="111827"/>
          <w:sz w:val="26"/>
          <w:szCs w:val="26"/>
        </w:rPr>
        <w:t xml:space="preserve">9. DISCUSSION</w:t>
      </w:r>
    </w:p>
    <w:p>
      <w:pPr>
        <w:pStyle w:val="Heading2"/>
        <w:spacing w:after="120" w:before="300"/>
      </w:pPr>
      <w:r>
        <w:rPr>
          <w:rFonts w:ascii="Arial" w:cs="Arial" w:eastAsia="Arial" w:hAnsi="Arial"/>
          <w:b/>
          <w:bCs/>
          <w:color w:val="1D4ED8"/>
          <w:sz w:val="24"/>
          <w:szCs w:val="24"/>
        </w:rPr>
        <w:t xml:space="preserve">9.1 Implications Managériales</w:t>
      </w:r>
    </w:p>
    <w:p>
      <w:pPr>
        <w:spacing w:after="160" w:before="0" w:line="380" w:lineRule="auto"/>
        <w:ind w:firstLine="720"/>
        <w:jc w:val="both"/>
      </w:pPr>
      <w:r>
        <w:rPr>
          <w:rFonts w:ascii="Times New Roman" w:cs="Times New Roman" w:eastAsia="Times New Roman" w:hAnsi="Times New Roman"/>
          <w:sz w:val="22"/>
          <w:szCs w:val="22"/>
        </w:rPr>
        <w:t xml:space="preserve">Les résultats de cette recherche appellent plusieurs implications pratiques pour les dirigeants et les responsables RH engagés dans des projets de transformation digitale. Premièrement, nos données suggèrent qu'il existe un « seuil de complétude digitale » en deçà duquel les investissements technologiques n'ont pas d'effet positif — voire ont un effet négatif — sur la performance. Les organisations qui digitalisent partiellement leurs processus, sans cohérence d'ensemble ni vision stratégique claire, font face à une complexité accrue sans bénéficier pleinement des gains d'efficience attendus.</w:t>
      </w:r>
    </w:p>
    <w:p>
      <w:pPr>
        <w:spacing w:after="160" w:before="0" w:line="380" w:lineRule="auto"/>
        <w:ind w:firstLine="720"/>
        <w:jc w:val="both"/>
      </w:pPr>
      <w:r>
        <w:rPr>
          <w:rFonts w:ascii="Times New Roman" w:cs="Times New Roman" w:eastAsia="Times New Roman" w:hAnsi="Times New Roman"/>
          <w:sz w:val="22"/>
          <w:szCs w:val="22"/>
        </w:rPr>
        <w:t xml:space="preserve">Deuxièmement, la fonction RH elle-même doit se transformer pour tirer parti du numérique. Les professionnels RH qui maîtrisent le triptyque compétences humaines / compétences analytiques / compétences en conduite du changement sont rares et très demandés. La montée en compétence des équipes RH sur la data literacy — la capacité à lire, interpréter et utiliser des données pour informer les décisions — apparaît comme la priorité de développement la plus urgente dans l'ensemble de nos cas.</w:t>
      </w:r>
    </w:p>
    <w:p>
      <w:pPr>
        <w:spacing w:after="160" w:before="0" w:line="380" w:lineRule="auto"/>
        <w:ind w:firstLine="720"/>
        <w:jc w:val="both"/>
      </w:pPr>
      <w:r>
        <w:rPr>
          <w:rFonts w:ascii="Times New Roman" w:cs="Times New Roman" w:eastAsia="Times New Roman" w:hAnsi="Times New Roman"/>
          <w:sz w:val="22"/>
          <w:szCs w:val="22"/>
        </w:rPr>
        <w:t xml:space="preserve">Troisièmement, la gouvernance de la donnée RH mérite une attention spécifique que les organisations sous-estiment souvent. La qualité des décisions produites par les systèmes d'IA et d'analytique est directement conditionnée par la qualité des données qui les alimentent. Investir dans des outils analytiques sophistiqués sans avoir préalablement résolu les problèmes de saisie, de déduplication et de mise à jour des données revient à construire sur des fondations fragiles.</w:t>
      </w:r>
    </w:p>
    <w:p>
      <w:pPr>
        <w:pStyle w:val="Heading2"/>
        <w:spacing w:after="120" w:before="300"/>
      </w:pPr>
      <w:r>
        <w:rPr>
          <w:rFonts w:ascii="Arial" w:cs="Arial" w:eastAsia="Arial" w:hAnsi="Arial"/>
          <w:b/>
          <w:bCs/>
          <w:color w:val="1D4ED8"/>
          <w:sz w:val="24"/>
          <w:szCs w:val="24"/>
        </w:rPr>
        <w:t xml:space="preserve">9.2 Limites de la Recherche</w:t>
      </w:r>
    </w:p>
    <w:p>
      <w:pPr>
        <w:spacing w:after="160" w:before="0" w:line="380" w:lineRule="auto"/>
        <w:ind w:firstLine="720"/>
        <w:jc w:val="both"/>
      </w:pPr>
      <w:r>
        <w:rPr>
          <w:rFonts w:ascii="Times New Roman" w:cs="Times New Roman" w:eastAsia="Times New Roman" w:hAnsi="Times New Roman"/>
          <w:sz w:val="22"/>
          <w:szCs w:val="22"/>
        </w:rPr>
        <w:t xml:space="preserve">Cette recherche comporte plusieurs limites qu'il convient de mentionner. Sur le plan méthodologique, les études de cas ont été conduites dans des organisations françaises et canadiennes, ce qui limite la généralisation des résultats à d'autres contextes institutionnels et culturels. La digitalisation RH se déploie de façon très différente selon les systèmes de relations industrielles nationaux, les réglementations du droit du travail et les cultures organisationnelles.</w:t>
      </w:r>
    </w:p>
    <w:p>
      <w:pPr>
        <w:spacing w:after="160" w:before="0" w:line="380" w:lineRule="auto"/>
        <w:ind w:firstLine="720"/>
        <w:jc w:val="both"/>
      </w:pPr>
      <w:r>
        <w:rPr>
          <w:rFonts w:ascii="Times New Roman" w:cs="Times New Roman" w:eastAsia="Times New Roman" w:hAnsi="Times New Roman"/>
          <w:sz w:val="22"/>
          <w:szCs w:val="22"/>
        </w:rPr>
        <w:t xml:space="preserve">Sur le plan théorique, notre modèle DEPTH, bien qu'ancré dans la littérature existante, n'a pas encore fait l'objet d'une validation empirique quantitative permettant de tester les relations causales entre ses dimensions et les indicateurs de performance organisationnelle. Des recherches futures devraient s'attacher à opérationnaliser les construits du modèle et à les tester sur des échantillons plus larges.</w:t>
      </w:r>
    </w:p>
    <w:p>
      <w:pPr>
        <w:spacing w:after="160" w:before="0" w:line="380" w:lineRule="auto"/>
        <w:ind w:firstLine="720"/>
        <w:jc w:val="both"/>
      </w:pPr>
      <w:r>
        <w:rPr>
          <w:rFonts w:ascii="Times New Roman" w:cs="Times New Roman" w:eastAsia="Times New Roman" w:hAnsi="Times New Roman"/>
          <w:sz w:val="22"/>
          <w:szCs w:val="22"/>
        </w:rPr>
        <w:t xml:space="preserve">Enfin, la rapidité d'évolution du champ technologique constitue une limite inhérente à toute recherche sur la digitalisation : les conclusions tirées des données collectées entre 2019 et 2023 peuvent partiellement sous-estimer les transformations induites par des développements récents comme l'IA générative, dont les usages RH étaient encore embryonnaires au moment de notre collecte de données.</w:t>
      </w:r>
    </w:p>
    <w:p>
      <w:pPr>
        <w:pStyle w:val="Heading1"/>
        <w:spacing w:after="160" w:before="440"/>
      </w:pPr>
      <w:r>
        <w:rPr>
          <w:rFonts w:ascii="Arial" w:cs="Arial" w:eastAsia="Arial" w:hAnsi="Arial"/>
          <w:b/>
          <w:bCs/>
          <w:color w:val="111827"/>
          <w:sz w:val="26"/>
          <w:szCs w:val="26"/>
        </w:rPr>
        <w:t xml:space="preserve">10. CONCLUSION</w:t>
      </w:r>
    </w:p>
    <w:p>
      <w:pPr>
        <w:spacing w:after="160" w:before="0" w:line="380" w:lineRule="auto"/>
        <w:ind w:firstLine="720"/>
        <w:jc w:val="both"/>
      </w:pPr>
      <w:r>
        <w:rPr>
          <w:rFonts w:ascii="Times New Roman" w:cs="Times New Roman" w:eastAsia="Times New Roman" w:hAnsi="Times New Roman"/>
          <w:sz w:val="22"/>
          <w:szCs w:val="22"/>
        </w:rPr>
        <w:t xml:space="preserve">La digitalisation des processus RH constitue une transformation profonde et irréversible de la GRH, dont les effets sur la performance organisationnelle et l'expérience collaborateur sont réels mais conditionnels. Les gains documentés — réduction des délais et des coûts, amélioration de la précision décisionnelle, personnalisation des parcours — ne se matérialisent que dans les organisations qui ont su traiter simultanément les cinq dimensions du modèle DEPTH : l'infrastructure technologique, l'engagement humain, la mesure de performance, l'éthique algorithmique et la centralité humaine.</w:t>
      </w:r>
    </w:p>
    <w:p>
      <w:pPr>
        <w:spacing w:after="160" w:before="0" w:line="380" w:lineRule="auto"/>
        <w:ind w:firstLine="720"/>
        <w:jc w:val="both"/>
      </w:pPr>
      <w:r>
        <w:rPr>
          <w:rFonts w:ascii="Times New Roman" w:cs="Times New Roman" w:eastAsia="Times New Roman" w:hAnsi="Times New Roman"/>
          <w:sz w:val="22"/>
          <w:szCs w:val="22"/>
        </w:rPr>
        <w:t xml:space="preserve">Cette recherche met en lumière un paradoxe fondamental de la digitalisation RH : plus les technologies deviennent capables de traiter efficacement les dimensions les plus administratives et quantifiables de la GRH, plus la valeur distinctive du professionnel RH réside dans des compétences fondamentalement humaines — la capacité à créer de la confiance, à accompagner des transitions individuelles complexes, à interpréter l'ambiguïté des signaux organisationnels et à exercer un jugement éthique dans des situations nouvelles. La digitalisation n'efface pas le besoin d'humanité dans la gestion des personnes ; elle l'exacerbe.</w:t>
      </w:r>
    </w:p>
    <w:p>
      <w:pPr>
        <w:spacing w:after="160" w:before="0" w:line="380" w:lineRule="auto"/>
        <w:ind w:firstLine="720"/>
        <w:jc w:val="both"/>
      </w:pPr>
      <w:r>
        <w:rPr>
          <w:rFonts w:ascii="Times New Roman" w:cs="Times New Roman" w:eastAsia="Times New Roman" w:hAnsi="Times New Roman"/>
          <w:sz w:val="22"/>
          <w:szCs w:val="22"/>
        </w:rPr>
        <w:t xml:space="preserve">Les développements futurs de l'IA générative, de l'analytique prédictive et des agents autonomes vont continuer à redistribuer les rôles entre machines et humains dans la GRH. La question n'est plus de savoir si ces technologies vont transformer la fonction RH — elles le font déjà — mais de savoir avec quelle vision, selon quelles valeurs et avec quelle gouvernance cette transformation sera conduite. C'est là, au fond, la question la plus décisive que la recherche en GRH devra continuer à poser.</w:t>
      </w:r>
    </w:p>
    <w:p>
      <w:pPr>
        <w:pBdr>
          <w:bottom w:val="single" w:color="D1D5DB" w:sz="4"/>
        </w:pBdr>
        <w:spacing w:after="200" w:before="200"/>
      </w:pPr>
    </w:p>
    <w:p>
      <w:r>
        <w:br w:type="page"/>
      </w:r>
    </w:p>
    <w:p>
      <w:pPr>
        <w:pStyle w:val="Heading1"/>
        <w:spacing w:after="160" w:before="440"/>
      </w:pPr>
      <w:r>
        <w:rPr>
          <w:rFonts w:ascii="Arial" w:cs="Arial" w:eastAsia="Arial" w:hAnsi="Arial"/>
          <w:b/>
          <w:bCs/>
          <w:color w:val="111827"/>
          <w:sz w:val="26"/>
          <w:szCs w:val="26"/>
        </w:rPr>
        <w:t xml:space="preserve">RÉFÉRENCES BIBLIOGRAPHIQUES</w:t>
      </w:r>
    </w:p>
    <w:p>
      <w:pPr>
        <w:spacing w:after="60" w:before="60" w:line="320" w:lineRule="auto"/>
        <w:ind w:left="720" w:hanging="720"/>
      </w:pPr>
      <w:r>
        <w:rPr>
          <w:rFonts w:ascii="Arial" w:cs="Arial" w:eastAsia="Arial" w:hAnsi="Arial"/>
          <w:b/>
          <w:bCs/>
          <w:sz w:val="20"/>
          <w:szCs w:val="20"/>
        </w:rPr>
        <w:t xml:space="preserve">[1]  </w:t>
      </w:r>
      <w:r>
        <w:rPr>
          <w:rFonts w:ascii="Times New Roman" w:cs="Times New Roman" w:eastAsia="Times New Roman" w:hAnsi="Times New Roman"/>
          <w:sz w:val="20"/>
          <w:szCs w:val="20"/>
        </w:rPr>
        <w:t xml:space="preserve">Angrave, D., Charlwood, A., Kirkpatrick, I., Lawrence, M., &amp; Stuart, M. (2016). HR and analytics: Why HR is set to fail the big data challenge. Human Resource Management Journal, 26(1), 1–11. https://doi.org/10.1111/1748-8583.12090</w:t>
      </w:r>
    </w:p>
    <w:p>
      <w:pPr>
        <w:spacing w:after="60" w:before="60" w:line="320" w:lineRule="auto"/>
        <w:ind w:left="720" w:hanging="720"/>
      </w:pPr>
      <w:r>
        <w:rPr>
          <w:rFonts w:ascii="Arial" w:cs="Arial" w:eastAsia="Arial" w:hAnsi="Arial"/>
          <w:b/>
          <w:bCs/>
          <w:sz w:val="20"/>
          <w:szCs w:val="20"/>
        </w:rPr>
        <w:t xml:space="preserve">[2]  </w:t>
      </w:r>
      <w:r>
        <w:rPr>
          <w:rFonts w:ascii="Times New Roman" w:cs="Times New Roman" w:eastAsia="Times New Roman" w:hAnsi="Times New Roman"/>
          <w:sz w:val="20"/>
          <w:szCs w:val="20"/>
        </w:rPr>
        <w:t xml:space="preserve">Baldwin, T. T., &amp; Ford, J. K. (1988). Transfer of training: A review and directions for future research. Personnel Psychology, 41(1), 63–105.</w:t>
      </w:r>
    </w:p>
    <w:p>
      <w:pPr>
        <w:spacing w:after="60" w:before="60" w:line="320" w:lineRule="auto"/>
        <w:ind w:left="720" w:hanging="720"/>
      </w:pPr>
      <w:r>
        <w:rPr>
          <w:rFonts w:ascii="Arial" w:cs="Arial" w:eastAsia="Arial" w:hAnsi="Arial"/>
          <w:b/>
          <w:bCs/>
          <w:sz w:val="20"/>
          <w:szCs w:val="20"/>
        </w:rPr>
        <w:t xml:space="preserve">[3]  </w:t>
      </w:r>
      <w:r>
        <w:rPr>
          <w:rFonts w:ascii="Times New Roman" w:cs="Times New Roman" w:eastAsia="Times New Roman" w:hAnsi="Times New Roman"/>
          <w:sz w:val="20"/>
          <w:szCs w:val="20"/>
        </w:rPr>
        <w:t xml:space="preserve">Barney, J. (1991). Firm resources and sustained competitive advantage. Journal of Management, 17(1), 99–120.</w:t>
      </w:r>
    </w:p>
    <w:p>
      <w:pPr>
        <w:spacing w:after="60" w:before="60" w:line="320" w:lineRule="auto"/>
        <w:ind w:left="720" w:hanging="720"/>
      </w:pPr>
      <w:r>
        <w:rPr>
          <w:rFonts w:ascii="Arial" w:cs="Arial" w:eastAsia="Arial" w:hAnsi="Arial"/>
          <w:b/>
          <w:bCs/>
          <w:sz w:val="20"/>
          <w:szCs w:val="20"/>
        </w:rPr>
        <w:t xml:space="preserve">[4]  </w:t>
      </w:r>
      <w:r>
        <w:rPr>
          <w:rFonts w:ascii="Times New Roman" w:cs="Times New Roman" w:eastAsia="Times New Roman" w:hAnsi="Times New Roman"/>
          <w:sz w:val="20"/>
          <w:szCs w:val="20"/>
        </w:rPr>
        <w:t xml:space="preserve">Bondarouk, T., &amp; Ruël, H. (2013). The strategic value of e-HRM: Results from an exploratory study in a governmental organization. International Journal of Human Resource Management, 24(2), 391–414.</w:t>
      </w:r>
    </w:p>
    <w:p>
      <w:pPr>
        <w:spacing w:after="60" w:before="60" w:line="320" w:lineRule="auto"/>
        <w:ind w:left="720" w:hanging="720"/>
      </w:pPr>
      <w:r>
        <w:rPr>
          <w:rFonts w:ascii="Arial" w:cs="Arial" w:eastAsia="Arial" w:hAnsi="Arial"/>
          <w:b/>
          <w:bCs/>
          <w:sz w:val="20"/>
          <w:szCs w:val="20"/>
        </w:rPr>
        <w:t xml:space="preserve">[5]  </w:t>
      </w:r>
      <w:r>
        <w:rPr>
          <w:rFonts w:ascii="Times New Roman" w:cs="Times New Roman" w:eastAsia="Times New Roman" w:hAnsi="Times New Roman"/>
          <w:sz w:val="20"/>
          <w:szCs w:val="20"/>
        </w:rPr>
        <w:t xml:space="preserve">Bondarouk, T., Parry, E., &amp; Furtmueller, E. (2017). Electronic HRM: Four decades of research on adoption and consequences. International Journal of Human Resource Management, 28(1), 98–131.</w:t>
      </w:r>
    </w:p>
    <w:p>
      <w:pPr>
        <w:spacing w:after="60" w:before="60" w:line="320" w:lineRule="auto"/>
        <w:ind w:left="720" w:hanging="720"/>
      </w:pPr>
      <w:r>
        <w:rPr>
          <w:rFonts w:ascii="Arial" w:cs="Arial" w:eastAsia="Arial" w:hAnsi="Arial"/>
          <w:b/>
          <w:bCs/>
          <w:sz w:val="20"/>
          <w:szCs w:val="20"/>
        </w:rPr>
        <w:t xml:space="preserve">[6]  </w:t>
      </w:r>
      <w:r>
        <w:rPr>
          <w:rFonts w:ascii="Times New Roman" w:cs="Times New Roman" w:eastAsia="Times New Roman" w:hAnsi="Times New Roman"/>
          <w:sz w:val="20"/>
          <w:szCs w:val="20"/>
        </w:rPr>
        <w:t xml:space="preserve">Cable, D. M., Gino, F., &amp; Staats, B. R. (2013). Reinventing employee onboarding. MIT Sloan Management Review, 54(3), 23–28.</w:t>
      </w:r>
    </w:p>
    <w:p>
      <w:pPr>
        <w:spacing w:after="60" w:before="60" w:line="320" w:lineRule="auto"/>
        <w:ind w:left="720" w:hanging="720"/>
      </w:pPr>
      <w:r>
        <w:rPr>
          <w:rFonts w:ascii="Arial" w:cs="Arial" w:eastAsia="Arial" w:hAnsi="Arial"/>
          <w:b/>
          <w:bCs/>
          <w:sz w:val="20"/>
          <w:szCs w:val="20"/>
        </w:rPr>
        <w:t xml:space="preserve">[7]  </w:t>
      </w:r>
      <w:r>
        <w:rPr>
          <w:rFonts w:ascii="Times New Roman" w:cs="Times New Roman" w:eastAsia="Times New Roman" w:hAnsi="Times New Roman"/>
          <w:sz w:val="20"/>
          <w:szCs w:val="20"/>
        </w:rPr>
        <w:t xml:space="preserve">Dastin, J. (2018, October 10). Amazon scraps secret AI recruiting tool that showed bias against women. Reuters Technology News.</w:t>
      </w:r>
    </w:p>
    <w:p>
      <w:pPr>
        <w:spacing w:after="60" w:before="60" w:line="320" w:lineRule="auto"/>
        <w:ind w:left="720" w:hanging="720"/>
      </w:pPr>
      <w:r>
        <w:rPr>
          <w:rFonts w:ascii="Arial" w:cs="Arial" w:eastAsia="Arial" w:hAnsi="Arial"/>
          <w:b/>
          <w:bCs/>
          <w:sz w:val="20"/>
          <w:szCs w:val="20"/>
        </w:rPr>
        <w:t xml:space="preserve">[8]  </w:t>
      </w:r>
      <w:r>
        <w:rPr>
          <w:rFonts w:ascii="Times New Roman" w:cs="Times New Roman" w:eastAsia="Times New Roman" w:hAnsi="Times New Roman"/>
          <w:sz w:val="20"/>
          <w:szCs w:val="20"/>
        </w:rPr>
        <w:t xml:space="preserve">Deloitte Human Capital Trends (2022). The social enterprise in a world disrupted: Leading the shift from survive to thrive. Deloitte Insights.</w:t>
      </w:r>
    </w:p>
    <w:p>
      <w:pPr>
        <w:spacing w:after="60" w:before="60" w:line="320" w:lineRule="auto"/>
        <w:ind w:left="720" w:hanging="720"/>
      </w:pPr>
      <w:r>
        <w:rPr>
          <w:rFonts w:ascii="Arial" w:cs="Arial" w:eastAsia="Arial" w:hAnsi="Arial"/>
          <w:b/>
          <w:bCs/>
          <w:sz w:val="20"/>
          <w:szCs w:val="20"/>
        </w:rPr>
        <w:t xml:space="preserve">[9]  </w:t>
      </w:r>
      <w:r>
        <w:rPr>
          <w:rFonts w:ascii="Times New Roman" w:cs="Times New Roman" w:eastAsia="Times New Roman" w:hAnsi="Times New Roman"/>
          <w:sz w:val="20"/>
          <w:szCs w:val="20"/>
        </w:rPr>
        <w:t xml:space="preserve">Fallucchi, F., Coladangelo, M., Giuliano, R., &amp; De Luca, E. W. (2020). Predicting employee attrition using machine learning techniques. Computers, 9(4), 86.</w:t>
      </w:r>
    </w:p>
    <w:p>
      <w:pPr>
        <w:spacing w:after="60" w:before="60" w:line="320" w:lineRule="auto"/>
        <w:ind w:left="720" w:hanging="720"/>
      </w:pPr>
      <w:r>
        <w:rPr>
          <w:rFonts w:ascii="Arial" w:cs="Arial" w:eastAsia="Arial" w:hAnsi="Arial"/>
          <w:b/>
          <w:bCs/>
          <w:sz w:val="20"/>
          <w:szCs w:val="20"/>
        </w:rPr>
        <w:t xml:space="preserve">[10]  </w:t>
      </w:r>
      <w:r>
        <w:rPr>
          <w:rFonts w:ascii="Times New Roman" w:cs="Times New Roman" w:eastAsia="Times New Roman" w:hAnsi="Times New Roman"/>
          <w:sz w:val="20"/>
          <w:szCs w:val="20"/>
        </w:rPr>
        <w:t xml:space="preserve">Fernandez-Mateo, I., &amp; Fernandez, R. M. (2016). Bending the pipeline? Executive search and gender inequality in hiring for top management jobs. Management Science, 62(12), 3636–3655.</w:t>
      </w:r>
    </w:p>
    <w:p>
      <w:pPr>
        <w:spacing w:after="60" w:before="60" w:line="320" w:lineRule="auto"/>
        <w:ind w:left="720" w:hanging="720"/>
      </w:pPr>
      <w:r>
        <w:rPr>
          <w:rFonts w:ascii="Arial" w:cs="Arial" w:eastAsia="Arial" w:hAnsi="Arial"/>
          <w:b/>
          <w:bCs/>
          <w:sz w:val="20"/>
          <w:szCs w:val="20"/>
        </w:rPr>
        <w:t xml:space="preserve">[11]  </w:t>
      </w:r>
      <w:r>
        <w:rPr>
          <w:rFonts w:ascii="Times New Roman" w:cs="Times New Roman" w:eastAsia="Times New Roman" w:hAnsi="Times New Roman"/>
          <w:sz w:val="20"/>
          <w:szCs w:val="20"/>
        </w:rPr>
        <w:t xml:space="preserve">Gartner HR Research (2023). The state of people analytics in 2023: From data-driven to intelligence-led. Gartner Inc.</w:t>
      </w:r>
    </w:p>
    <w:p>
      <w:pPr>
        <w:spacing w:after="60" w:before="60" w:line="320" w:lineRule="auto"/>
        <w:ind w:left="720" w:hanging="720"/>
      </w:pPr>
      <w:r>
        <w:rPr>
          <w:rFonts w:ascii="Arial" w:cs="Arial" w:eastAsia="Arial" w:hAnsi="Arial"/>
          <w:b/>
          <w:bCs/>
          <w:sz w:val="20"/>
          <w:szCs w:val="20"/>
        </w:rPr>
        <w:t xml:space="preserve">[12]  </w:t>
      </w:r>
      <w:r>
        <w:rPr>
          <w:rFonts w:ascii="Times New Roman" w:cs="Times New Roman" w:eastAsia="Times New Roman" w:hAnsi="Times New Roman"/>
          <w:sz w:val="20"/>
          <w:szCs w:val="20"/>
        </w:rPr>
        <w:t xml:space="preserve">Gonzalez-Ramirez, R. G., Gasco, J. L., &amp; Llopis, J. (2021). Digital HR management: Research and professional practice. In D. Bondarouk &amp; M. R. Olivas-Luján (Eds.), Electronic HRM in the Smart Era (pp. 1–28). Emerald.</w:t>
      </w:r>
    </w:p>
    <w:p>
      <w:pPr>
        <w:spacing w:after="60" w:before="60" w:line="320" w:lineRule="auto"/>
        <w:ind w:left="720" w:hanging="720"/>
      </w:pPr>
      <w:r>
        <w:rPr>
          <w:rFonts w:ascii="Arial" w:cs="Arial" w:eastAsia="Arial" w:hAnsi="Arial"/>
          <w:b/>
          <w:bCs/>
          <w:sz w:val="20"/>
          <w:szCs w:val="20"/>
        </w:rPr>
        <w:t xml:space="preserve">[13]  </w:t>
      </w:r>
      <w:r>
        <w:rPr>
          <w:rFonts w:ascii="Times New Roman" w:cs="Times New Roman" w:eastAsia="Times New Roman" w:hAnsi="Times New Roman"/>
          <w:sz w:val="20"/>
          <w:szCs w:val="20"/>
        </w:rPr>
        <w:t xml:space="preserve">Liem, G. A. D., &amp; Ho, K. F. (2020). Technology in human resource practices. Human Resource Management Review, 30(3), 100–121.</w:t>
      </w:r>
    </w:p>
    <w:p>
      <w:pPr>
        <w:spacing w:after="60" w:before="60" w:line="320" w:lineRule="auto"/>
        <w:ind w:left="720" w:hanging="720"/>
      </w:pPr>
      <w:r>
        <w:rPr>
          <w:rFonts w:ascii="Arial" w:cs="Arial" w:eastAsia="Arial" w:hAnsi="Arial"/>
          <w:b/>
          <w:bCs/>
          <w:sz w:val="20"/>
          <w:szCs w:val="20"/>
        </w:rPr>
        <w:t xml:space="preserve">[14]  </w:t>
      </w:r>
      <w:r>
        <w:rPr>
          <w:rFonts w:ascii="Times New Roman" w:cs="Times New Roman" w:eastAsia="Times New Roman" w:hAnsi="Times New Roman"/>
          <w:sz w:val="20"/>
          <w:szCs w:val="20"/>
        </w:rPr>
        <w:t xml:space="preserve">Marler, J. H., &amp; Parry, E. (2016). Human resource management, strategic involvement and e-HRM technology. International Journal of Human Resource Management, 27(19), 2233–2253.</w:t>
      </w:r>
    </w:p>
    <w:p>
      <w:pPr>
        <w:spacing w:after="60" w:before="60" w:line="320" w:lineRule="auto"/>
        <w:ind w:left="720" w:hanging="720"/>
      </w:pPr>
      <w:r>
        <w:rPr>
          <w:rFonts w:ascii="Arial" w:cs="Arial" w:eastAsia="Arial" w:hAnsi="Arial"/>
          <w:b/>
          <w:bCs/>
          <w:sz w:val="20"/>
          <w:szCs w:val="20"/>
        </w:rPr>
        <w:t xml:space="preserve">[15]  </w:t>
      </w:r>
      <w:r>
        <w:rPr>
          <w:rFonts w:ascii="Times New Roman" w:cs="Times New Roman" w:eastAsia="Times New Roman" w:hAnsi="Times New Roman"/>
          <w:sz w:val="20"/>
          <w:szCs w:val="20"/>
        </w:rPr>
        <w:t xml:space="preserve">Meyer, A. D., Tsui, A. S., &amp; Hinings, C. R. (1993). Configurational approaches to organizational analysis. Academy of Management Journal, 36(6), 1175–1195.</w:t>
      </w:r>
    </w:p>
    <w:p>
      <w:pPr>
        <w:spacing w:after="60" w:before="60" w:line="320" w:lineRule="auto"/>
        <w:ind w:left="720" w:hanging="720"/>
      </w:pPr>
      <w:r>
        <w:rPr>
          <w:rFonts w:ascii="Arial" w:cs="Arial" w:eastAsia="Arial" w:hAnsi="Arial"/>
          <w:b/>
          <w:bCs/>
          <w:sz w:val="20"/>
          <w:szCs w:val="20"/>
        </w:rPr>
        <w:t xml:space="preserve">[16]  </w:t>
      </w:r>
      <w:r>
        <w:rPr>
          <w:rFonts w:ascii="Times New Roman" w:cs="Times New Roman" w:eastAsia="Times New Roman" w:hAnsi="Times New Roman"/>
          <w:sz w:val="20"/>
          <w:szCs w:val="20"/>
        </w:rPr>
        <w:t xml:space="preserve">Milgrom, P., &amp; Roberts, J. (1990). The economics of modern manufacturing: Technology, strategy, and organization. American Economic Review, 80(3), 511–528.</w:t>
      </w:r>
    </w:p>
    <w:p>
      <w:pPr>
        <w:spacing w:after="60" w:before="60" w:line="320" w:lineRule="auto"/>
        <w:ind w:left="720" w:hanging="720"/>
      </w:pPr>
      <w:r>
        <w:rPr>
          <w:rFonts w:ascii="Arial" w:cs="Arial" w:eastAsia="Arial" w:hAnsi="Arial"/>
          <w:b/>
          <w:bCs/>
          <w:sz w:val="20"/>
          <w:szCs w:val="20"/>
        </w:rPr>
        <w:t xml:space="preserve">[17]  </w:t>
      </w:r>
      <w:r>
        <w:rPr>
          <w:rFonts w:ascii="Times New Roman" w:cs="Times New Roman" w:eastAsia="Times New Roman" w:hAnsi="Times New Roman"/>
          <w:sz w:val="20"/>
          <w:szCs w:val="20"/>
        </w:rPr>
        <w:t xml:space="preserve">Raghavan, M., Barocas, S., Kleinberg, J., &amp; Levy, K. (2020). Mitigating bias in algorithmic hiring: Evaluating claims and practices. Proceedings of the 2020 Conference on Fairness, Accountability, and Transparency, 469–481.</w:t>
      </w:r>
    </w:p>
    <w:p>
      <w:pPr>
        <w:spacing w:after="60" w:before="60" w:line="320" w:lineRule="auto"/>
        <w:ind w:left="720" w:hanging="720"/>
      </w:pPr>
      <w:r>
        <w:rPr>
          <w:rFonts w:ascii="Arial" w:cs="Arial" w:eastAsia="Arial" w:hAnsi="Arial"/>
          <w:b/>
          <w:bCs/>
          <w:sz w:val="20"/>
          <w:szCs w:val="20"/>
        </w:rPr>
        <w:t xml:space="preserve">[18]  </w:t>
      </w:r>
      <w:r>
        <w:rPr>
          <w:rFonts w:ascii="Times New Roman" w:cs="Times New Roman" w:eastAsia="Times New Roman" w:hAnsi="Times New Roman"/>
          <w:sz w:val="20"/>
          <w:szCs w:val="20"/>
        </w:rPr>
        <w:t xml:space="preserve">Rasmussen, T., &amp; Ulrich, D. (2015). Learning from practice: How HR analytics avoids being a management fad. Organizational Dynamics, 44(3), 236–242.</w:t>
      </w:r>
    </w:p>
    <w:p>
      <w:pPr>
        <w:spacing w:after="60" w:before="60" w:line="320" w:lineRule="auto"/>
        <w:ind w:left="720" w:hanging="720"/>
      </w:pPr>
      <w:r>
        <w:rPr>
          <w:rFonts w:ascii="Arial" w:cs="Arial" w:eastAsia="Arial" w:hAnsi="Arial"/>
          <w:b/>
          <w:bCs/>
          <w:sz w:val="20"/>
          <w:szCs w:val="20"/>
        </w:rPr>
        <w:t xml:space="preserve">[19]  </w:t>
      </w:r>
      <w:r>
        <w:rPr>
          <w:rFonts w:ascii="Times New Roman" w:cs="Times New Roman" w:eastAsia="Times New Roman" w:hAnsi="Times New Roman"/>
          <w:sz w:val="20"/>
          <w:szCs w:val="20"/>
        </w:rPr>
        <w:t xml:space="preserve">Rogers, E. M. (2003). Diffusion of Innovations (5th ed.). Free Press.</w:t>
      </w:r>
    </w:p>
    <w:p>
      <w:pPr>
        <w:spacing w:after="60" w:before="60" w:line="320" w:lineRule="auto"/>
        <w:ind w:left="720" w:hanging="720"/>
      </w:pPr>
      <w:r>
        <w:rPr>
          <w:rFonts w:ascii="Arial" w:cs="Arial" w:eastAsia="Arial" w:hAnsi="Arial"/>
          <w:b/>
          <w:bCs/>
          <w:sz w:val="20"/>
          <w:szCs w:val="20"/>
        </w:rPr>
        <w:t xml:space="preserve">[20]  </w:t>
      </w:r>
      <w:r>
        <w:rPr>
          <w:rFonts w:ascii="Times New Roman" w:cs="Times New Roman" w:eastAsia="Times New Roman" w:hAnsi="Times New Roman"/>
          <w:sz w:val="20"/>
          <w:szCs w:val="20"/>
        </w:rPr>
        <w:t xml:space="preserve">Strohmeier, S. (2007). Research in e-HRM: Review and implications. Human Resource Management Review, 17(1), 19–37.</w:t>
      </w:r>
    </w:p>
    <w:p>
      <w:pPr>
        <w:spacing w:after="60" w:before="60" w:line="320" w:lineRule="auto"/>
        <w:ind w:left="720" w:hanging="720"/>
      </w:pPr>
      <w:r>
        <w:rPr>
          <w:rFonts w:ascii="Arial" w:cs="Arial" w:eastAsia="Arial" w:hAnsi="Arial"/>
          <w:b/>
          <w:bCs/>
          <w:sz w:val="20"/>
          <w:szCs w:val="20"/>
        </w:rPr>
        <w:t xml:space="preserve">[21]  </w:t>
      </w:r>
      <w:r>
        <w:rPr>
          <w:rFonts w:ascii="Times New Roman" w:cs="Times New Roman" w:eastAsia="Times New Roman" w:hAnsi="Times New Roman"/>
          <w:sz w:val="20"/>
          <w:szCs w:val="20"/>
        </w:rPr>
        <w:t xml:space="preserve">Strohmeier, S. (2020). Digital human resource management: A conceptual clarification. German Journal of Human Resource Management, 34(3), 345–365.</w:t>
      </w:r>
    </w:p>
    <w:p>
      <w:pPr>
        <w:spacing w:after="60" w:before="60" w:line="320" w:lineRule="auto"/>
        <w:ind w:left="720" w:hanging="720"/>
      </w:pPr>
      <w:r>
        <w:rPr>
          <w:rFonts w:ascii="Arial" w:cs="Arial" w:eastAsia="Arial" w:hAnsi="Arial"/>
          <w:b/>
          <w:bCs/>
          <w:sz w:val="20"/>
          <w:szCs w:val="20"/>
        </w:rPr>
        <w:t xml:space="preserve">[22]  </w:t>
      </w:r>
      <w:r>
        <w:rPr>
          <w:rFonts w:ascii="Times New Roman" w:cs="Times New Roman" w:eastAsia="Times New Roman" w:hAnsi="Times New Roman"/>
          <w:sz w:val="20"/>
          <w:szCs w:val="20"/>
        </w:rPr>
        <w:t xml:space="preserve">Thite, M. (2019). Smart human resource management: Leveraging technology to improve HR service delivery and outcomes. In M. Thite (Ed.), e-HRM: Digital Approaches, Directions &amp; Applications (pp. 1–25). Routledge.</w:t>
      </w:r>
    </w:p>
    <w:p>
      <w:pPr>
        <w:spacing w:after="60" w:before="60" w:line="320" w:lineRule="auto"/>
        <w:ind w:left="720" w:hanging="720"/>
      </w:pPr>
      <w:r>
        <w:rPr>
          <w:rFonts w:ascii="Arial" w:cs="Arial" w:eastAsia="Arial" w:hAnsi="Arial"/>
          <w:b/>
          <w:bCs/>
          <w:sz w:val="20"/>
          <w:szCs w:val="20"/>
        </w:rPr>
        <w:t xml:space="preserve">[23]  </w:t>
      </w:r>
      <w:r>
        <w:rPr>
          <w:rFonts w:ascii="Times New Roman" w:cs="Times New Roman" w:eastAsia="Times New Roman" w:hAnsi="Times New Roman"/>
          <w:sz w:val="20"/>
          <w:szCs w:val="20"/>
        </w:rPr>
        <w:t xml:space="preserve">Ulrich, D. (1997). Human Resource Champions: The Next Agenda for Adding Value and Delivering Results. Harvard Business School Press.</w:t>
      </w:r>
    </w:p>
    <w:p>
      <w:pPr>
        <w:spacing w:after="60" w:before="60" w:line="320" w:lineRule="auto"/>
        <w:ind w:left="720" w:hanging="720"/>
      </w:pPr>
      <w:r>
        <w:rPr>
          <w:rFonts w:ascii="Arial" w:cs="Arial" w:eastAsia="Arial" w:hAnsi="Arial"/>
          <w:b/>
          <w:bCs/>
          <w:sz w:val="20"/>
          <w:szCs w:val="20"/>
        </w:rPr>
        <w:t xml:space="preserve">[24]  </w:t>
      </w:r>
      <w:r>
        <w:rPr>
          <w:rFonts w:ascii="Times New Roman" w:cs="Times New Roman" w:eastAsia="Times New Roman" w:hAnsi="Times New Roman"/>
          <w:sz w:val="20"/>
          <w:szCs w:val="20"/>
        </w:rPr>
        <w:t xml:space="preserve">Venkatesh, V., Morris, M. G., Davis, G. B., &amp; Davis, F. D. (2003). User acceptance of information technology: Toward a unified view. MIS Quarterly, 27(3), 425–478.</w:t>
      </w:r>
    </w:p>
    <w:p>
      <w:pPr>
        <w:spacing w:after="60" w:before="60" w:line="320" w:lineRule="auto"/>
        <w:ind w:left="720" w:hanging="720"/>
      </w:pPr>
      <w:r>
        <w:rPr>
          <w:rFonts w:ascii="Arial" w:cs="Arial" w:eastAsia="Arial" w:hAnsi="Arial"/>
          <w:b/>
          <w:bCs/>
          <w:sz w:val="20"/>
          <w:szCs w:val="20"/>
        </w:rPr>
        <w:t xml:space="preserve">[25]  </w:t>
      </w:r>
      <w:r>
        <w:rPr>
          <w:rFonts w:ascii="Times New Roman" w:cs="Times New Roman" w:eastAsia="Times New Roman" w:hAnsi="Times New Roman"/>
          <w:sz w:val="20"/>
          <w:szCs w:val="20"/>
        </w:rPr>
        <w:t xml:space="preserve">Westerman, G., Bonnet, D., &amp; McAfee, A. (2014). Leading Digital: Turning Technology into Business Transformation. Harvard Business Review Press.</w:t>
      </w:r>
    </w:p>
    <w:p>
      <w:pPr>
        <w:spacing w:after="60" w:before="60" w:line="320" w:lineRule="auto"/>
        <w:ind w:left="720" w:hanging="720"/>
      </w:pPr>
      <w:r>
        <w:rPr>
          <w:rFonts w:ascii="Arial" w:cs="Arial" w:eastAsia="Arial" w:hAnsi="Arial"/>
          <w:b/>
          <w:bCs/>
          <w:sz w:val="20"/>
          <w:szCs w:val="20"/>
        </w:rPr>
        <w:t xml:space="preserve">[26]  </w:t>
      </w:r>
      <w:r>
        <w:rPr>
          <w:rFonts w:ascii="Times New Roman" w:cs="Times New Roman" w:eastAsia="Times New Roman" w:hAnsi="Times New Roman"/>
          <w:sz w:val="20"/>
          <w:szCs w:val="20"/>
        </w:rPr>
        <w:t xml:space="preserve">Wright, P. M., &amp; McMahan, G. C. (1992). Theoretical perspectives for strategic human resource management. Journal of Management, 18(2), 295–320.</w:t>
      </w:r>
    </w:p>
    <w:p>
      <w:pPr>
        <w:pBdr>
          <w:bottom w:val="single" w:color="D1D5DB" w:sz="4"/>
        </w:pBdr>
        <w:spacing w:after="200" w:before="200"/>
      </w:pPr>
    </w:p>
    <w:p>
      <w:pPr>
        <w:spacing w:after="60" w:before="200"/>
        <w:jc w:val="center"/>
      </w:pPr>
      <w:r>
        <w:rPr>
          <w:rFonts w:ascii="Arial" w:cs="Arial" w:eastAsia="Arial" w:hAnsi="Arial"/>
          <w:color w:val="9CA3AF"/>
          <w:sz w:val="18"/>
          <w:szCs w:val="18"/>
        </w:rPr>
        <w:t xml:space="preserve">© 2025 Revue Internationale de Management et des Sciences de l'Organisation</w:t>
      </w:r>
    </w:p>
    <w:p>
      <w:pPr>
        <w:spacing w:after="40" w:before="40"/>
        <w:jc w:val="center"/>
      </w:pPr>
      <w:r>
        <w:rPr>
          <w:rFonts w:ascii="Arial" w:cs="Arial" w:eastAsia="Arial" w:hAnsi="Arial"/>
          <w:i/>
          <w:iCs/>
          <w:color w:val="9CA3AF"/>
          <w:sz w:val="18"/>
          <w:szCs w:val="18"/>
        </w:rPr>
        <w:t xml:space="preserve">Cet article est mis à disposition selon les termes de la licence Creative Commons Attribution – Pas d'Utilisation Commerciale 4.0 International (CC BY-NC 4.0).</w:t>
      </w:r>
    </w:p>
    <w:sectPr>
      <w:headerReference w:type="default" r:id="rId7"/>
      <w:footerReference w:type="default" r:id="rId8"/>
      <w:pgSz w:w="11906" w:h="16838" w:orient="portrait"/>
      <w:pgMar w:top="144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3"/>
      </w:pBdr>
      <w:jc w:val="center"/>
    </w:pPr>
    <w:r>
      <w:rPr>
        <w:rFonts w:ascii="Arial" w:cs="Arial" w:eastAsia="Arial" w:hAnsi="Arial"/>
        <w:color w:val="9CA3AF"/>
        <w:sz w:val="18"/>
        <w:szCs w:val="18"/>
      </w:rPr>
      <w:t xml:space="preserve">La Digitalisation des Processus de GRH  •  Marchand, El-Amin &amp; Deschamps (2025)  •  p. </w:t>
    </w:r>
    <w:r>
      <w:rPr>
        <w:rFonts w:ascii="Arial" w:cs="Arial" w:eastAsia="Arial" w:hAnsi="Arial"/>
        <w:color w:val="9CA3AF"/>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1D5DB" w:sz="3"/>
      </w:pBdr>
    </w:pPr>
    <w:r>
      <w:rPr>
        <w:rFonts w:ascii="Arial" w:cs="Arial" w:eastAsia="Arial" w:hAnsi="Arial"/>
        <w:color w:val="9CA3AF"/>
        <w:sz w:val="18"/>
        <w:szCs w:val="18"/>
      </w:rPr>
      <w:t xml:space="preserve">Revue Internationale de Management  •  Vol. 14, N° 2,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40"/>
      <w:outlineLvl w:val="0"/>
    </w:pPr>
    <w:rPr>
      <w:rFonts w:ascii="Arial" w:cs="Arial" w:eastAsia="Arial" w:hAnsi="Arial"/>
      <w:b/>
      <w:bCs/>
      <w:color w:val="111827"/>
      <w:sz w:val="26"/>
      <w:szCs w:val="26"/>
    </w:rPr>
  </w:style>
  <w:style w:type="paragraph" w:styleId="Heading2">
    <w:name w:val="Heading 2"/>
    <w:basedOn w:val="Normal"/>
    <w:next w:val="Normal"/>
    <w:qFormat/>
    <w:pPr>
      <w:spacing w:after="120" w:before="300"/>
      <w:outlineLvl w:val="1"/>
    </w:pPr>
    <w:rPr>
      <w:rFonts w:ascii="Arial" w:cs="Arial" w:eastAsia="Arial" w:hAnsi="Arial"/>
      <w:b/>
      <w:bCs/>
      <w:color w:val="1D4ED8"/>
      <w:sz w:val="24"/>
      <w:szCs w:val="24"/>
    </w:rPr>
  </w:style>
  <w:style w:type="paragraph" w:styleId="Heading3">
    <w:name w:val="Heading 3"/>
    <w:basedOn w:val="Normal"/>
    <w:next w:val="Normal"/>
    <w:qFormat/>
    <w:pPr>
      <w:spacing w:after="80" w:before="220"/>
      <w:outlineLvl w:val="2"/>
    </w:pPr>
    <w:rPr>
      <w:rFonts w:ascii="Times New Roman" w:cs="Times New Roman" w:eastAsia="Times New Roman" w:hAnsi="Times New Roman"/>
      <w:b/>
      <w:bCs/>
      <w:i/>
      <w:iCs/>
      <w:color w:val="11182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2026-04-05T20:10:35.615Z</dcterms:created>
  <dcterms:modified xsi:type="dcterms:W3CDTF">2026-04-05T20:10:35.615Z</dcterms:modified>
</cp:coreProperties>
</file>

<file path=docProps/custom.xml><?xml version="1.0" encoding="utf-8"?>
<Properties xmlns="http://schemas.openxmlformats.org/officeDocument/2006/custom-properties" xmlns:vt="http://schemas.openxmlformats.org/officeDocument/2006/docPropsVTypes"/>
</file>